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06BA">
      <w:pPr>
        <w:pStyle w:val="14"/>
        <w:spacing w:line="300" w:lineRule="auto"/>
        <w:ind w:left="0" w:firstLine="0"/>
        <w:jc w:val="center"/>
        <w:rPr>
          <w:rFonts w:ascii="黑体" w:hAnsi="华文中宋" w:eastAsia="黑体"/>
          <w:color w:val="auto"/>
          <w:sz w:val="56"/>
          <w:szCs w:val="70"/>
          <w:highlight w:val="none"/>
        </w:rPr>
      </w:pPr>
      <w:bookmarkStart w:id="0" w:name="EBb2b7aee1a55041caba5ee1024560b77f"/>
      <w:bookmarkStart w:id="1" w:name="_Hlk42498727"/>
      <w:r>
        <w:rPr>
          <w:rFonts w:hint="eastAsia" w:ascii="黑体" w:hAnsi="华文中宋" w:eastAsia="黑体"/>
          <w:color w:val="auto"/>
          <w:sz w:val="56"/>
          <w:szCs w:val="70"/>
          <w:highlight w:val="none"/>
        </w:rPr>
        <w:t>浙江省</w:t>
      </w:r>
    </w:p>
    <w:p w14:paraId="286FEEB2">
      <w:pPr>
        <w:pStyle w:val="14"/>
        <w:spacing w:line="300" w:lineRule="auto"/>
        <w:ind w:left="0" w:firstLine="0"/>
        <w:jc w:val="center"/>
        <w:rPr>
          <w:rFonts w:ascii="黑体" w:hAnsi="华文中宋" w:eastAsia="黑体"/>
          <w:color w:val="auto"/>
          <w:sz w:val="70"/>
          <w:szCs w:val="70"/>
          <w:highlight w:val="none"/>
        </w:rPr>
      </w:pPr>
      <w:r>
        <w:rPr>
          <w:rFonts w:hint="eastAsia" w:ascii="黑体" w:hAnsi="华文中宋" w:eastAsia="黑体"/>
          <w:color w:val="auto"/>
          <w:sz w:val="56"/>
          <w:szCs w:val="70"/>
          <w:highlight w:val="none"/>
          <w:u w:val="single"/>
        </w:rPr>
        <w:t>甬金高速出入口建设工程</w:t>
      </w:r>
      <w:r>
        <w:rPr>
          <w:rFonts w:hint="eastAsia" w:ascii="黑体" w:hAnsi="华文中宋" w:eastAsia="黑体"/>
          <w:color w:val="auto"/>
          <w:sz w:val="56"/>
          <w:szCs w:val="70"/>
          <w:highlight w:val="none"/>
        </w:rPr>
        <w:t>设计</w:t>
      </w:r>
    </w:p>
    <w:p w14:paraId="221FF087">
      <w:pPr>
        <w:pStyle w:val="14"/>
        <w:spacing w:line="300" w:lineRule="auto"/>
        <w:jc w:val="center"/>
        <w:rPr>
          <w:rFonts w:ascii="黑体" w:hAnsi="华文中宋" w:eastAsia="黑体"/>
          <w:color w:val="auto"/>
          <w:sz w:val="70"/>
          <w:szCs w:val="70"/>
          <w:highlight w:val="none"/>
        </w:rPr>
      </w:pPr>
    </w:p>
    <w:p w14:paraId="37DF37BB">
      <w:pPr>
        <w:pStyle w:val="14"/>
        <w:spacing w:line="300" w:lineRule="auto"/>
        <w:jc w:val="center"/>
        <w:rPr>
          <w:rFonts w:ascii="黑体" w:hAnsi="华文中宋" w:eastAsia="黑体"/>
          <w:color w:val="auto"/>
          <w:sz w:val="70"/>
          <w:szCs w:val="70"/>
          <w:highlight w:val="none"/>
        </w:rPr>
      </w:pPr>
    </w:p>
    <w:p w14:paraId="667B52E5">
      <w:pPr>
        <w:pStyle w:val="14"/>
        <w:spacing w:line="300" w:lineRule="auto"/>
        <w:jc w:val="center"/>
        <w:rPr>
          <w:rFonts w:ascii="黑体" w:hAnsi="华文中宋" w:eastAsia="黑体"/>
          <w:color w:val="auto"/>
          <w:sz w:val="72"/>
          <w:szCs w:val="70"/>
          <w:highlight w:val="none"/>
        </w:rPr>
      </w:pPr>
      <w:r>
        <w:rPr>
          <w:rFonts w:hint="eastAsia" w:ascii="黑体" w:hAnsi="华文中宋" w:eastAsia="黑体"/>
          <w:color w:val="auto"/>
          <w:sz w:val="72"/>
          <w:szCs w:val="70"/>
          <w:highlight w:val="none"/>
        </w:rPr>
        <w:t>发包文件</w:t>
      </w:r>
    </w:p>
    <w:p w14:paraId="457F86B8">
      <w:pPr>
        <w:pStyle w:val="14"/>
        <w:spacing w:line="300" w:lineRule="auto"/>
        <w:jc w:val="center"/>
        <w:rPr>
          <w:rFonts w:ascii="黑体" w:hAnsi="华文中宋" w:eastAsia="黑体"/>
          <w:color w:val="auto"/>
          <w:sz w:val="56"/>
          <w:szCs w:val="70"/>
          <w:highlight w:val="none"/>
        </w:rPr>
      </w:pPr>
      <w:r>
        <w:rPr>
          <w:rFonts w:hint="eastAsia" w:ascii="黑体" w:hAnsi="华文中宋" w:eastAsia="黑体"/>
          <w:color w:val="auto"/>
          <w:sz w:val="56"/>
          <w:szCs w:val="70"/>
          <w:highlight w:val="none"/>
        </w:rPr>
        <w:t xml:space="preserve"> </w:t>
      </w:r>
    </w:p>
    <w:p w14:paraId="0A189AAE">
      <w:pPr>
        <w:pStyle w:val="14"/>
        <w:ind w:left="0" w:firstLine="0"/>
        <w:rPr>
          <w:b/>
          <w:color w:val="auto"/>
          <w:sz w:val="28"/>
          <w:highlight w:val="none"/>
        </w:rPr>
      </w:pPr>
    </w:p>
    <w:p w14:paraId="1F94B9CF">
      <w:pPr>
        <w:pStyle w:val="14"/>
        <w:rPr>
          <w:b/>
          <w:color w:val="auto"/>
          <w:sz w:val="28"/>
          <w:highlight w:val="none"/>
        </w:rPr>
      </w:pPr>
    </w:p>
    <w:p w14:paraId="4A34A6E3">
      <w:pPr>
        <w:pStyle w:val="14"/>
        <w:rPr>
          <w:b/>
          <w:color w:val="auto"/>
          <w:sz w:val="28"/>
          <w:highlight w:val="none"/>
        </w:rPr>
      </w:pPr>
    </w:p>
    <w:p w14:paraId="29E88BEE">
      <w:pPr>
        <w:pStyle w:val="14"/>
        <w:rPr>
          <w:color w:val="auto"/>
          <w:sz w:val="32"/>
          <w:szCs w:val="32"/>
          <w:highlight w:val="none"/>
          <w:u w:val="single"/>
        </w:rPr>
      </w:pPr>
      <w:r>
        <w:rPr>
          <w:rFonts w:hint="eastAsia"/>
          <w:color w:val="auto"/>
          <w:sz w:val="32"/>
          <w:szCs w:val="32"/>
          <w:highlight w:val="none"/>
        </w:rPr>
        <w:t>发包人：</w:t>
      </w:r>
      <w:r>
        <w:rPr>
          <w:rFonts w:hint="eastAsia"/>
          <w:color w:val="auto"/>
          <w:sz w:val="32"/>
          <w:szCs w:val="32"/>
          <w:highlight w:val="none"/>
          <w:u w:val="single"/>
        </w:rPr>
        <w:t>嵊州市交通投资发展集团有限公司</w:t>
      </w:r>
      <w:r>
        <w:rPr>
          <w:rFonts w:hint="eastAsia"/>
          <w:color w:val="auto"/>
          <w:sz w:val="32"/>
          <w:szCs w:val="32"/>
          <w:highlight w:val="none"/>
        </w:rPr>
        <w:t>（盖单位章）</w:t>
      </w:r>
    </w:p>
    <w:p w14:paraId="6360237E">
      <w:pPr>
        <w:pStyle w:val="14"/>
        <w:jc w:val="center"/>
        <w:rPr>
          <w:color w:val="auto"/>
          <w:sz w:val="32"/>
          <w:szCs w:val="32"/>
          <w:highlight w:val="none"/>
        </w:rPr>
      </w:pPr>
      <w:r>
        <w:rPr>
          <w:rFonts w:hint="eastAsia"/>
          <w:color w:val="auto"/>
          <w:sz w:val="32"/>
          <w:szCs w:val="32"/>
          <w:highlight w:val="none"/>
        </w:rPr>
        <w:t>发包</w:t>
      </w:r>
      <w:r>
        <w:rPr>
          <w:color w:val="auto"/>
          <w:sz w:val="32"/>
          <w:szCs w:val="32"/>
          <w:highlight w:val="none"/>
        </w:rPr>
        <w:t>代理</w:t>
      </w:r>
      <w:r>
        <w:rPr>
          <w:rFonts w:hint="eastAsia"/>
          <w:color w:val="auto"/>
          <w:sz w:val="32"/>
          <w:szCs w:val="32"/>
          <w:highlight w:val="none"/>
        </w:rPr>
        <w:t>：</w:t>
      </w:r>
      <w:r>
        <w:rPr>
          <w:rFonts w:hint="eastAsia"/>
          <w:color w:val="auto"/>
          <w:sz w:val="32"/>
          <w:szCs w:val="32"/>
          <w:highlight w:val="none"/>
          <w:u w:val="single"/>
        </w:rPr>
        <w:t>中冠工程管理咨询有限公司</w:t>
      </w:r>
      <w:r>
        <w:rPr>
          <w:rFonts w:hint="eastAsia"/>
          <w:color w:val="auto"/>
          <w:sz w:val="32"/>
          <w:szCs w:val="32"/>
          <w:highlight w:val="none"/>
        </w:rPr>
        <w:t>（盖单位章）</w:t>
      </w:r>
    </w:p>
    <w:tbl>
      <w:tblPr>
        <w:tblStyle w:val="34"/>
        <w:tblW w:w="0" w:type="auto"/>
        <w:jc w:val="center"/>
        <w:tblLayout w:type="fixed"/>
        <w:tblCellMar>
          <w:top w:w="0" w:type="dxa"/>
          <w:left w:w="28" w:type="dxa"/>
          <w:bottom w:w="0" w:type="dxa"/>
          <w:right w:w="28" w:type="dxa"/>
        </w:tblCellMar>
      </w:tblPr>
      <w:tblGrid>
        <w:gridCol w:w="6988"/>
      </w:tblGrid>
      <w:tr w14:paraId="31D7354D">
        <w:tblPrEx>
          <w:tblCellMar>
            <w:top w:w="0" w:type="dxa"/>
            <w:left w:w="28" w:type="dxa"/>
            <w:bottom w:w="0" w:type="dxa"/>
            <w:right w:w="28" w:type="dxa"/>
          </w:tblCellMar>
        </w:tblPrEx>
        <w:trPr>
          <w:trHeight w:val="711" w:hRule="atLeast"/>
          <w:jc w:val="center"/>
        </w:trPr>
        <w:tc>
          <w:tcPr>
            <w:tcW w:w="6988" w:type="dxa"/>
            <w:vAlign w:val="center"/>
          </w:tcPr>
          <w:p w14:paraId="1CB04A3C">
            <w:pPr>
              <w:pStyle w:val="14"/>
              <w:ind w:left="0" w:firstLine="0"/>
              <w:jc w:val="center"/>
              <w:rPr>
                <w:rFonts w:ascii="宋体" w:hAnsi="宋体"/>
                <w:color w:val="auto"/>
                <w:sz w:val="36"/>
                <w:szCs w:val="36"/>
                <w:highlight w:val="none"/>
              </w:rPr>
            </w:pPr>
            <w:r>
              <w:rPr>
                <w:rFonts w:hint="eastAsia" w:ascii="宋体" w:hAnsi="宋体"/>
                <w:color w:val="auto"/>
                <w:sz w:val="36"/>
                <w:szCs w:val="36"/>
                <w:highlight w:val="none"/>
                <w:u w:val="single"/>
              </w:rPr>
              <w:t>2026</w:t>
            </w:r>
            <w:r>
              <w:rPr>
                <w:rFonts w:hint="eastAsia" w:ascii="宋体" w:hAnsi="宋体"/>
                <w:color w:val="auto"/>
                <w:sz w:val="36"/>
                <w:szCs w:val="36"/>
                <w:highlight w:val="none"/>
              </w:rPr>
              <w:t>年</w:t>
            </w:r>
            <w:r>
              <w:rPr>
                <w:rFonts w:hint="eastAsia" w:ascii="宋体" w:hAnsi="宋体"/>
                <w:color w:val="auto"/>
                <w:sz w:val="36"/>
                <w:szCs w:val="36"/>
                <w:highlight w:val="none"/>
                <w:u w:val="single"/>
              </w:rPr>
              <w:t>1</w:t>
            </w:r>
            <w:r>
              <w:rPr>
                <w:rFonts w:hint="eastAsia" w:ascii="宋体" w:hAnsi="宋体"/>
                <w:color w:val="auto"/>
                <w:sz w:val="36"/>
                <w:szCs w:val="36"/>
                <w:highlight w:val="none"/>
                <w:u w:val="single"/>
                <w:lang w:val="en-US" w:eastAsia="zh-CN"/>
              </w:rPr>
              <w:t>1</w:t>
            </w:r>
            <w:r>
              <w:rPr>
                <w:rFonts w:hint="eastAsia" w:ascii="宋体" w:hAnsi="宋体"/>
                <w:color w:val="auto"/>
                <w:sz w:val="36"/>
                <w:szCs w:val="36"/>
                <w:highlight w:val="none"/>
              </w:rPr>
              <w:t>月</w:t>
            </w:r>
          </w:p>
        </w:tc>
      </w:tr>
    </w:tbl>
    <w:p w14:paraId="3D5698F0">
      <w:pPr>
        <w:pStyle w:val="14"/>
        <w:jc w:val="center"/>
        <w:rPr>
          <w:rFonts w:ascii="黑体" w:eastAsia="黑体"/>
          <w:color w:val="auto"/>
          <w:sz w:val="48"/>
          <w:szCs w:val="48"/>
          <w:highlight w:val="none"/>
        </w:rPr>
        <w:sectPr>
          <w:headerReference r:id="rId4" w:type="default"/>
          <w:footerReference r:id="rId6" w:type="default"/>
          <w:headerReference r:id="rId5" w:type="even"/>
          <w:footerReference r:id="rId7" w:type="even"/>
          <w:footnotePr>
            <w:numFmt w:val="decimalEnclosedCircleChinese"/>
            <w:numRestart w:val="eachPage"/>
          </w:footnotePr>
          <w:pgSz w:w="11911" w:h="16849"/>
          <w:pgMar w:top="1440" w:right="1800" w:bottom="1440" w:left="1800" w:header="850" w:footer="907" w:gutter="0"/>
          <w:cols w:space="720" w:num="1"/>
        </w:sectPr>
      </w:pPr>
    </w:p>
    <w:p w14:paraId="4A0EB6F0">
      <w:pPr>
        <w:pStyle w:val="14"/>
        <w:jc w:val="center"/>
        <w:rPr>
          <w:rFonts w:ascii="黑体" w:eastAsia="黑体"/>
          <w:color w:val="auto"/>
          <w:sz w:val="48"/>
          <w:szCs w:val="48"/>
          <w:highlight w:val="none"/>
        </w:rPr>
      </w:pPr>
      <w:r>
        <w:rPr>
          <w:rFonts w:hint="eastAsia" w:ascii="黑体" w:eastAsia="黑体"/>
          <w:color w:val="auto"/>
          <w:sz w:val="48"/>
          <w:szCs w:val="48"/>
          <w:highlight w:val="none"/>
        </w:rPr>
        <w:t xml:space="preserve">说 </w:t>
      </w:r>
      <w:r>
        <w:rPr>
          <w:rFonts w:ascii="黑体" w:eastAsia="黑体"/>
          <w:color w:val="auto"/>
          <w:sz w:val="48"/>
          <w:szCs w:val="48"/>
          <w:highlight w:val="none"/>
        </w:rPr>
        <w:t xml:space="preserve"> </w:t>
      </w:r>
      <w:r>
        <w:rPr>
          <w:rFonts w:hint="eastAsia" w:ascii="黑体" w:eastAsia="黑体"/>
          <w:color w:val="auto"/>
          <w:sz w:val="48"/>
          <w:szCs w:val="48"/>
          <w:highlight w:val="none"/>
        </w:rPr>
        <w:t>明</w:t>
      </w:r>
    </w:p>
    <w:p w14:paraId="0C202C61">
      <w:pPr>
        <w:pStyle w:val="14"/>
        <w:spacing w:line="420" w:lineRule="exact"/>
        <w:ind w:left="0" w:firstLine="480" w:firstLineChars="200"/>
        <w:rPr>
          <w:rFonts w:ascii="楷体_GB2312" w:eastAsia="楷体_GB2312"/>
          <w:color w:val="auto"/>
          <w:sz w:val="24"/>
          <w:highlight w:val="none"/>
        </w:rPr>
      </w:pPr>
      <w:r>
        <w:rPr>
          <w:rFonts w:hint="eastAsia" w:ascii="楷体_GB2312" w:eastAsia="楷体_GB2312"/>
          <w:color w:val="auto"/>
          <w:sz w:val="24"/>
          <w:highlight w:val="none"/>
        </w:rPr>
        <w:t>一、浙江省</w:t>
      </w:r>
      <w:r>
        <w:rPr>
          <w:rFonts w:hint="eastAsia" w:ascii="楷体_GB2312" w:eastAsia="楷体_GB2312"/>
          <w:color w:val="auto"/>
          <w:sz w:val="24"/>
          <w:highlight w:val="none"/>
          <w:u w:val="single"/>
        </w:rPr>
        <w:t>甬金高速出入口建设工程</w:t>
      </w:r>
      <w:r>
        <w:rPr>
          <w:rFonts w:hint="eastAsia" w:ascii="楷体_GB2312" w:eastAsia="楷体_GB2312"/>
          <w:color w:val="auto"/>
          <w:sz w:val="24"/>
          <w:highlight w:val="none"/>
        </w:rPr>
        <w:t>勘察设计发包文件，以《中华人民共和国招标投标</w:t>
      </w:r>
      <w:r>
        <w:rPr>
          <w:rFonts w:ascii="楷体_GB2312" w:eastAsia="楷体_GB2312"/>
          <w:color w:val="auto"/>
          <w:sz w:val="24"/>
          <w:highlight w:val="none"/>
        </w:rPr>
        <w:t>法》</w:t>
      </w:r>
      <w:r>
        <w:rPr>
          <w:rFonts w:hint="eastAsia" w:ascii="楷体_GB2312" w:eastAsia="楷体_GB2312"/>
          <w:color w:val="auto"/>
          <w:sz w:val="24"/>
          <w:highlight w:val="none"/>
        </w:rPr>
        <w:t>、</w:t>
      </w:r>
      <w:r>
        <w:rPr>
          <w:rFonts w:ascii="楷体_GB2312" w:eastAsia="楷体_GB2312"/>
          <w:color w:val="auto"/>
          <w:sz w:val="24"/>
          <w:highlight w:val="none"/>
        </w:rPr>
        <w:t>《</w:t>
      </w:r>
      <w:r>
        <w:rPr>
          <w:rFonts w:hint="eastAsia" w:ascii="楷体_GB2312" w:eastAsia="楷体_GB2312"/>
          <w:color w:val="auto"/>
          <w:sz w:val="24"/>
          <w:highlight w:val="none"/>
        </w:rPr>
        <w:t>中华人民共和国招标投标法</w:t>
      </w:r>
      <w:r>
        <w:rPr>
          <w:rFonts w:ascii="楷体_GB2312" w:eastAsia="楷体_GB2312"/>
          <w:color w:val="auto"/>
          <w:sz w:val="24"/>
          <w:highlight w:val="none"/>
        </w:rPr>
        <w:t>实施条例》</w:t>
      </w:r>
      <w:r>
        <w:rPr>
          <w:rFonts w:hint="eastAsia" w:ascii="楷体_GB2312" w:eastAsia="楷体_GB2312"/>
          <w:color w:val="auto"/>
          <w:sz w:val="24"/>
          <w:highlight w:val="none"/>
        </w:rPr>
        <w:t>、交通运输部《公路工程标准勘察设计招标文件》（2018年版）和</w:t>
      </w:r>
      <w:bookmarkStart w:id="2" w:name="_Hlk40673413"/>
      <w:r>
        <w:rPr>
          <w:rFonts w:hint="eastAsia" w:ascii="楷体_GB2312" w:eastAsia="楷体_GB2312"/>
          <w:color w:val="auto"/>
          <w:sz w:val="24"/>
          <w:highlight w:val="none"/>
        </w:rPr>
        <w:t>《浙江省公路工程勘察设计</w:t>
      </w:r>
      <w:bookmarkEnd w:id="2"/>
      <w:r>
        <w:rPr>
          <w:rFonts w:hint="eastAsia" w:ascii="楷体_GB2312" w:eastAsia="楷体_GB2312"/>
          <w:color w:val="auto"/>
          <w:sz w:val="24"/>
          <w:highlight w:val="none"/>
        </w:rPr>
        <w:t>招标文件示范文本》（2024年版）为依据，结合本项目的特点和实际需要编制而成。</w:t>
      </w:r>
    </w:p>
    <w:p w14:paraId="4E28E858">
      <w:pPr>
        <w:pStyle w:val="14"/>
        <w:spacing w:line="420" w:lineRule="exact"/>
        <w:ind w:left="0" w:firstLine="480" w:firstLineChars="200"/>
        <w:rPr>
          <w:rFonts w:ascii="楷体_GB2312" w:eastAsia="楷体_GB2312"/>
          <w:color w:val="auto"/>
          <w:sz w:val="24"/>
          <w:highlight w:val="none"/>
        </w:rPr>
      </w:pPr>
      <w:r>
        <w:rPr>
          <w:rFonts w:hint="eastAsia" w:ascii="楷体_GB2312" w:eastAsia="楷体_GB2312"/>
          <w:color w:val="auto"/>
          <w:sz w:val="24"/>
          <w:highlight w:val="none"/>
        </w:rPr>
        <w:t>二、针对本项目的具体特点、实际情况和电子发包的规定：</w:t>
      </w:r>
    </w:p>
    <w:p w14:paraId="719176E9">
      <w:pPr>
        <w:pStyle w:val="14"/>
        <w:spacing w:line="420" w:lineRule="exact"/>
        <w:ind w:left="0" w:firstLine="480" w:firstLineChars="200"/>
        <w:rPr>
          <w:rFonts w:ascii="楷体_GB2312" w:eastAsia="楷体_GB2312"/>
          <w:color w:val="auto"/>
          <w:sz w:val="24"/>
          <w:highlight w:val="none"/>
        </w:rPr>
      </w:pPr>
      <w:r>
        <w:rPr>
          <w:rFonts w:hint="eastAsia" w:ascii="楷体_GB2312" w:eastAsia="楷体_GB2312"/>
          <w:color w:val="auto"/>
          <w:sz w:val="24"/>
          <w:highlight w:val="none"/>
        </w:rPr>
        <w:t>在“竞包人须知前附表”和“评标办法前附表”中对“竞包人须知”、“评标办法”进行了补充、细化。</w:t>
      </w:r>
    </w:p>
    <w:p w14:paraId="1AA48752">
      <w:pPr>
        <w:pStyle w:val="14"/>
        <w:spacing w:line="420" w:lineRule="exact"/>
        <w:ind w:left="0" w:firstLine="480" w:firstLineChars="200"/>
        <w:rPr>
          <w:rFonts w:ascii="楷体_GB2312" w:eastAsia="楷体_GB2312"/>
          <w:color w:val="auto"/>
          <w:sz w:val="24"/>
          <w:highlight w:val="none"/>
        </w:rPr>
      </w:pPr>
      <w:r>
        <w:rPr>
          <w:rFonts w:hint="eastAsia" w:ascii="楷体_GB2312" w:eastAsia="楷体_GB2312"/>
          <w:color w:val="auto"/>
          <w:sz w:val="24"/>
          <w:highlight w:val="none"/>
        </w:rPr>
        <w:t>在“专用合同条款”中，对“通用合同条款”进行补充、细化或约定。</w:t>
      </w:r>
    </w:p>
    <w:p w14:paraId="0838D374">
      <w:pPr>
        <w:pStyle w:val="14"/>
        <w:spacing w:line="420" w:lineRule="exact"/>
        <w:ind w:left="0" w:firstLine="480" w:firstLineChars="200"/>
        <w:rPr>
          <w:rFonts w:ascii="楷体_GB2312" w:eastAsia="楷体_GB2312"/>
          <w:color w:val="auto"/>
          <w:sz w:val="24"/>
          <w:highlight w:val="none"/>
        </w:rPr>
      </w:pPr>
      <w:r>
        <w:rPr>
          <w:rFonts w:hint="eastAsia" w:ascii="楷体_GB2312" w:eastAsia="楷体_GB2312"/>
          <w:color w:val="auto"/>
          <w:sz w:val="24"/>
          <w:highlight w:val="none"/>
        </w:rPr>
        <w:t>三、竞包人应按发包文件的要求认真编制竞包文件，完整地响应发包文件的规定和内容，避免竞包文件因不能通过评审而被拒绝。</w:t>
      </w:r>
    </w:p>
    <w:p w14:paraId="3257E56B">
      <w:pPr>
        <w:pStyle w:val="14"/>
        <w:spacing w:line="20" w:lineRule="exact"/>
        <w:jc w:val="center"/>
        <w:rPr>
          <w:color w:val="auto"/>
          <w:highlight w:val="none"/>
        </w:rPr>
      </w:pPr>
    </w:p>
    <w:p w14:paraId="7FEBFB3A">
      <w:pPr>
        <w:pStyle w:val="14"/>
        <w:rPr>
          <w:color w:val="auto"/>
          <w:highlight w:val="none"/>
        </w:rPr>
      </w:pPr>
    </w:p>
    <w:p w14:paraId="54D280D9">
      <w:pPr>
        <w:pStyle w:val="14"/>
        <w:jc w:val="center"/>
        <w:rPr>
          <w:rFonts w:ascii="黑体" w:hAnsi="黑体" w:eastAsia="黑体"/>
          <w:color w:val="auto"/>
          <w:sz w:val="44"/>
          <w:szCs w:val="44"/>
          <w:highlight w:val="none"/>
        </w:rPr>
        <w:sectPr>
          <w:footerReference r:id="rId8" w:type="default"/>
          <w:footerReference r:id="rId9" w:type="even"/>
          <w:footnotePr>
            <w:numFmt w:val="decimalEnclosedCircleChinese"/>
            <w:numRestart w:val="eachPage"/>
          </w:footnotePr>
          <w:pgSz w:w="11911" w:h="16849"/>
          <w:pgMar w:top="1417" w:right="1361" w:bottom="1417" w:left="1361" w:header="850" w:footer="907" w:gutter="0"/>
          <w:cols w:space="720" w:num="1"/>
        </w:sectPr>
      </w:pPr>
    </w:p>
    <w:p w14:paraId="231DFE1A">
      <w:pPr>
        <w:pStyle w:val="14"/>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  录</w:t>
      </w:r>
    </w:p>
    <w:p w14:paraId="599AE0DD">
      <w:pPr>
        <w:pStyle w:val="27"/>
        <w:tabs>
          <w:tab w:val="right" w:leader="dot" w:pos="9189"/>
        </w:tabs>
        <w:spacing w:line="240" w:lineRule="exact"/>
        <w:ind w:left="0" w:leftChars="0"/>
        <w:rPr>
          <w:color w:val="auto"/>
          <w:highlight w:val="none"/>
        </w:rPr>
      </w:pPr>
      <w:r>
        <w:rPr>
          <w:rFonts w:ascii="宋体" w:hAnsi="宋体"/>
          <w:color w:val="auto"/>
          <w:highlight w:val="none"/>
        </w:rPr>
        <w:fldChar w:fldCharType="begin"/>
      </w:r>
      <w:r>
        <w:rPr>
          <w:rStyle w:val="39"/>
          <w:rFonts w:ascii="宋体" w:hAnsi="宋体"/>
          <w:color w:val="auto"/>
          <w:highlight w:val="none"/>
        </w:rPr>
        <w:instrText xml:space="preserve"> TOC \o "1-4" \h \z \u </w:instrText>
      </w:r>
      <w:r>
        <w:rPr>
          <w:rFonts w:ascii="宋体" w:hAnsi="宋体"/>
          <w:color w:val="auto"/>
          <w:highlight w:val="none"/>
        </w:rPr>
        <w:fldChar w:fldCharType="separate"/>
      </w:r>
      <w:r>
        <w:rPr>
          <w:color w:val="auto"/>
          <w:highlight w:val="none"/>
        </w:rPr>
        <w:fldChar w:fldCharType="begin"/>
      </w:r>
      <w:r>
        <w:rPr>
          <w:color w:val="auto"/>
          <w:highlight w:val="none"/>
        </w:rPr>
        <w:instrText xml:space="preserve"> HYPERLINK \l "_Toc6836" </w:instrText>
      </w:r>
      <w:r>
        <w:rPr>
          <w:color w:val="auto"/>
          <w:highlight w:val="none"/>
        </w:rPr>
        <w:fldChar w:fldCharType="separate"/>
      </w:r>
      <w:r>
        <w:rPr>
          <w:rFonts w:hint="eastAsia" w:ascii="宋体" w:hAnsi="宋体"/>
          <w:color w:val="auto"/>
          <w:szCs w:val="32"/>
          <w:highlight w:val="none"/>
        </w:rPr>
        <w:t xml:space="preserve">第一章 </w:t>
      </w:r>
      <w:r>
        <w:rPr>
          <w:rFonts w:hint="eastAsia" w:ascii="宋体" w:hAnsi="宋体"/>
          <w:color w:val="auto"/>
          <w:szCs w:val="52"/>
          <w:highlight w:val="none"/>
        </w:rPr>
        <w:t>发包公告</w:t>
      </w:r>
      <w:r>
        <w:rPr>
          <w:color w:val="auto"/>
          <w:highlight w:val="none"/>
        </w:rPr>
        <w:tab/>
      </w:r>
      <w:r>
        <w:rPr>
          <w:color w:val="auto"/>
          <w:highlight w:val="none"/>
        </w:rPr>
        <w:fldChar w:fldCharType="begin"/>
      </w:r>
      <w:r>
        <w:rPr>
          <w:color w:val="auto"/>
          <w:highlight w:val="none"/>
        </w:rPr>
        <w:instrText xml:space="preserve"> PAGEREF _Toc6836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3A89834">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"_Toc12802" </w:instrText>
      </w:r>
      <w:r>
        <w:rPr>
          <w:color w:val="auto"/>
          <w:highlight w:val="none"/>
        </w:rPr>
        <w:fldChar w:fldCharType="separate"/>
      </w:r>
      <w:r>
        <w:rPr>
          <w:rFonts w:hint="eastAsia" w:ascii="宋体" w:hAnsi="宋体" w:cs="宋体"/>
          <w:color w:val="auto"/>
          <w:szCs w:val="24"/>
          <w:highlight w:val="none"/>
        </w:rPr>
        <w:t>1．发包条件</w:t>
      </w:r>
      <w:r>
        <w:rPr>
          <w:color w:val="auto"/>
          <w:highlight w:val="none"/>
        </w:rPr>
        <w:tab/>
      </w:r>
      <w:r>
        <w:rPr>
          <w:color w:val="auto"/>
          <w:highlight w:val="none"/>
        </w:rPr>
        <w:fldChar w:fldCharType="begin"/>
      </w:r>
      <w:r>
        <w:rPr>
          <w:color w:val="auto"/>
          <w:highlight w:val="none"/>
        </w:rPr>
        <w:instrText xml:space="preserve"> PAGEREF _Toc12802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54959A92">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"_Toc5150" </w:instrText>
      </w:r>
      <w:r>
        <w:rPr>
          <w:color w:val="auto"/>
          <w:highlight w:val="none"/>
        </w:rPr>
        <w:fldChar w:fldCharType="separate"/>
      </w:r>
      <w:r>
        <w:rPr>
          <w:rFonts w:hint="eastAsia" w:ascii="宋体" w:hAnsi="宋体" w:cs="宋体"/>
          <w:color w:val="auto"/>
          <w:szCs w:val="24"/>
          <w:highlight w:val="none"/>
        </w:rPr>
        <w:t>2．项目概况与发包范围</w:t>
      </w:r>
      <w:r>
        <w:rPr>
          <w:color w:val="auto"/>
          <w:highlight w:val="none"/>
        </w:rPr>
        <w:tab/>
      </w:r>
      <w:r>
        <w:rPr>
          <w:color w:val="auto"/>
          <w:highlight w:val="none"/>
        </w:rPr>
        <w:fldChar w:fldCharType="begin"/>
      </w:r>
      <w:r>
        <w:rPr>
          <w:color w:val="auto"/>
          <w:highlight w:val="none"/>
        </w:rPr>
        <w:instrText xml:space="preserve"> PAGEREF _Toc5150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3FB5F3B9">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"_Toc27638" </w:instrText>
      </w:r>
      <w:r>
        <w:rPr>
          <w:color w:val="auto"/>
          <w:highlight w:val="none"/>
        </w:rPr>
        <w:fldChar w:fldCharType="separate"/>
      </w:r>
      <w:r>
        <w:rPr>
          <w:rFonts w:hint="eastAsia" w:ascii="宋体" w:hAnsi="宋体" w:cs="宋体"/>
          <w:color w:val="auto"/>
          <w:szCs w:val="24"/>
          <w:highlight w:val="none"/>
        </w:rPr>
        <w:t>3．竞包人资格要求</w:t>
      </w:r>
      <w:r>
        <w:rPr>
          <w:color w:val="auto"/>
          <w:highlight w:val="none"/>
        </w:rPr>
        <w:tab/>
      </w:r>
      <w:r>
        <w:rPr>
          <w:color w:val="auto"/>
          <w:highlight w:val="none"/>
        </w:rPr>
        <w:fldChar w:fldCharType="begin"/>
      </w:r>
      <w:r>
        <w:rPr>
          <w:color w:val="auto"/>
          <w:highlight w:val="none"/>
        </w:rPr>
        <w:instrText xml:space="preserve"> PAGEREF _Toc27638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7C8FC2AB">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"_Toc30041" </w:instrText>
      </w:r>
      <w:r>
        <w:rPr>
          <w:color w:val="auto"/>
          <w:highlight w:val="none"/>
        </w:rPr>
        <w:fldChar w:fldCharType="separate"/>
      </w:r>
      <w:r>
        <w:rPr>
          <w:rFonts w:hint="eastAsia" w:ascii="宋体" w:hAnsi="宋体" w:cs="宋体"/>
          <w:color w:val="auto"/>
          <w:szCs w:val="24"/>
          <w:highlight w:val="none"/>
        </w:rPr>
        <w:t>4．技术成果经济补偿</w:t>
      </w:r>
      <w:r>
        <w:rPr>
          <w:color w:val="auto"/>
          <w:highlight w:val="none"/>
        </w:rPr>
        <w:tab/>
      </w:r>
      <w:r>
        <w:rPr>
          <w:color w:val="auto"/>
          <w:highlight w:val="none"/>
        </w:rPr>
        <w:fldChar w:fldCharType="begin"/>
      </w:r>
      <w:r>
        <w:rPr>
          <w:color w:val="auto"/>
          <w:highlight w:val="none"/>
        </w:rPr>
        <w:instrText xml:space="preserve"> PAGEREF _Toc30041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15909DE2">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"_Toc17436" </w:instrText>
      </w:r>
      <w:r>
        <w:rPr>
          <w:color w:val="auto"/>
          <w:highlight w:val="none"/>
        </w:rPr>
        <w:fldChar w:fldCharType="separate"/>
      </w:r>
      <w:r>
        <w:rPr>
          <w:rFonts w:hint="eastAsia" w:ascii="宋体" w:hAnsi="宋体" w:cs="宋体"/>
          <w:color w:val="auto"/>
          <w:szCs w:val="24"/>
          <w:highlight w:val="none"/>
        </w:rPr>
        <w:t>5．发包文件的获取</w:t>
      </w:r>
      <w:r>
        <w:rPr>
          <w:color w:val="auto"/>
          <w:highlight w:val="none"/>
        </w:rPr>
        <w:tab/>
      </w:r>
      <w:r>
        <w:rPr>
          <w:color w:val="auto"/>
          <w:highlight w:val="none"/>
        </w:rPr>
        <w:fldChar w:fldCharType="begin"/>
      </w:r>
      <w:r>
        <w:rPr>
          <w:color w:val="auto"/>
          <w:highlight w:val="none"/>
        </w:rPr>
        <w:instrText xml:space="preserve"> PAGEREF _Toc17436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23272473">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"_Toc32253" </w:instrText>
      </w:r>
      <w:r>
        <w:rPr>
          <w:color w:val="auto"/>
          <w:highlight w:val="none"/>
        </w:rPr>
        <w:fldChar w:fldCharType="separate"/>
      </w:r>
      <w:r>
        <w:rPr>
          <w:rFonts w:hint="eastAsia" w:ascii="宋体" w:hAnsi="宋体"/>
          <w:color w:val="auto"/>
          <w:szCs w:val="21"/>
          <w:highlight w:val="none"/>
        </w:rPr>
        <w:t>6．竞包保证金</w:t>
      </w:r>
      <w:r>
        <w:rPr>
          <w:color w:val="auto"/>
          <w:highlight w:val="none"/>
        </w:rPr>
        <w:tab/>
      </w:r>
      <w:r>
        <w:rPr>
          <w:color w:val="auto"/>
          <w:highlight w:val="none"/>
        </w:rPr>
        <w:fldChar w:fldCharType="begin"/>
      </w:r>
      <w:r>
        <w:rPr>
          <w:color w:val="auto"/>
          <w:highlight w:val="none"/>
        </w:rPr>
        <w:instrText xml:space="preserve"> PAGEREF _Toc32253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3B64BA50">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"_Toc26893" </w:instrText>
      </w:r>
      <w:r>
        <w:rPr>
          <w:color w:val="auto"/>
          <w:highlight w:val="none"/>
        </w:rPr>
        <w:fldChar w:fldCharType="separate"/>
      </w:r>
      <w:r>
        <w:rPr>
          <w:rFonts w:hint="eastAsia" w:ascii="宋体" w:hAnsi="宋体"/>
          <w:snapToGrid w:val="0"/>
          <w:color w:val="auto"/>
          <w:highlight w:val="none"/>
        </w:rPr>
        <w:t>本项目无须递交竞包保证金。</w:t>
      </w:r>
      <w:r>
        <w:rPr>
          <w:color w:val="auto"/>
          <w:highlight w:val="none"/>
        </w:rPr>
        <w:tab/>
      </w:r>
      <w:r>
        <w:rPr>
          <w:color w:val="auto"/>
          <w:highlight w:val="none"/>
        </w:rPr>
        <w:fldChar w:fldCharType="begin"/>
      </w:r>
      <w:r>
        <w:rPr>
          <w:color w:val="auto"/>
          <w:highlight w:val="none"/>
        </w:rPr>
        <w:instrText xml:space="preserve"> PAGEREF _Toc26893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BF6AC80">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"_Toc31790" </w:instrText>
      </w:r>
      <w:r>
        <w:rPr>
          <w:color w:val="auto"/>
          <w:highlight w:val="none"/>
        </w:rPr>
        <w:fldChar w:fldCharType="separate"/>
      </w:r>
      <w:r>
        <w:rPr>
          <w:rFonts w:hint="eastAsia" w:ascii="宋体" w:hAnsi="宋体" w:cs="宋体"/>
          <w:color w:val="auto"/>
          <w:szCs w:val="24"/>
          <w:highlight w:val="none"/>
        </w:rPr>
        <w:t>7.竞包文件的递交</w:t>
      </w:r>
      <w:r>
        <w:rPr>
          <w:color w:val="auto"/>
          <w:highlight w:val="none"/>
        </w:rPr>
        <w:tab/>
      </w:r>
      <w:r>
        <w:rPr>
          <w:color w:val="auto"/>
          <w:highlight w:val="none"/>
        </w:rPr>
        <w:fldChar w:fldCharType="begin"/>
      </w:r>
      <w:r>
        <w:rPr>
          <w:color w:val="auto"/>
          <w:highlight w:val="none"/>
        </w:rPr>
        <w:instrText xml:space="preserve"> PAGEREF _Toc31790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475E97A2">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"_Toc10887" </w:instrText>
      </w:r>
      <w:r>
        <w:rPr>
          <w:color w:val="auto"/>
          <w:highlight w:val="none"/>
        </w:rPr>
        <w:fldChar w:fldCharType="separate"/>
      </w:r>
      <w:r>
        <w:rPr>
          <w:rFonts w:hint="eastAsia" w:ascii="宋体" w:hAnsi="宋体" w:cs="宋体"/>
          <w:color w:val="auto"/>
          <w:szCs w:val="24"/>
          <w:highlight w:val="none"/>
        </w:rPr>
        <w:t>8. 发布公告的媒介</w:t>
      </w:r>
      <w:r>
        <w:rPr>
          <w:color w:val="auto"/>
          <w:highlight w:val="none"/>
        </w:rPr>
        <w:tab/>
      </w:r>
      <w:r>
        <w:rPr>
          <w:color w:val="auto"/>
          <w:highlight w:val="none"/>
        </w:rPr>
        <w:fldChar w:fldCharType="begin"/>
      </w:r>
      <w:r>
        <w:rPr>
          <w:color w:val="auto"/>
          <w:highlight w:val="none"/>
        </w:rPr>
        <w:instrText xml:space="preserve"> PAGEREF _Toc10887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13FDD2C8">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"_Toc31289" </w:instrText>
      </w:r>
      <w:r>
        <w:rPr>
          <w:color w:val="auto"/>
          <w:highlight w:val="none"/>
        </w:rPr>
        <w:fldChar w:fldCharType="separate"/>
      </w:r>
      <w:r>
        <w:rPr>
          <w:rFonts w:hint="eastAsia" w:ascii="宋体" w:hAnsi="宋体" w:cs="宋体"/>
          <w:bCs/>
          <w:color w:val="auto"/>
          <w:szCs w:val="24"/>
          <w:highlight w:val="none"/>
        </w:rPr>
        <w:t>9. 监管机构</w:t>
      </w:r>
      <w:r>
        <w:rPr>
          <w:color w:val="auto"/>
          <w:highlight w:val="none"/>
        </w:rPr>
        <w:tab/>
      </w:r>
      <w:r>
        <w:rPr>
          <w:color w:val="auto"/>
          <w:highlight w:val="none"/>
        </w:rPr>
        <w:fldChar w:fldCharType="begin"/>
      </w:r>
      <w:r>
        <w:rPr>
          <w:color w:val="auto"/>
          <w:highlight w:val="none"/>
        </w:rPr>
        <w:instrText xml:space="preserve"> PAGEREF _Toc31289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3B908F7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"_Toc1310" </w:instrText>
      </w:r>
      <w:r>
        <w:rPr>
          <w:color w:val="auto"/>
          <w:highlight w:val="none"/>
        </w:rPr>
        <w:fldChar w:fldCharType="separate"/>
      </w:r>
      <w:r>
        <w:rPr>
          <w:rFonts w:hint="eastAsia" w:ascii="宋体" w:hAnsi="宋体" w:cs="宋体"/>
          <w:bCs/>
          <w:color w:val="auto"/>
          <w:szCs w:val="24"/>
          <w:highlight w:val="none"/>
        </w:rPr>
        <w:t>10. 联系方式</w:t>
      </w:r>
      <w:r>
        <w:rPr>
          <w:color w:val="auto"/>
          <w:highlight w:val="none"/>
        </w:rPr>
        <w:tab/>
      </w:r>
      <w:r>
        <w:rPr>
          <w:color w:val="auto"/>
          <w:highlight w:val="none"/>
        </w:rPr>
        <w:fldChar w:fldCharType="begin"/>
      </w:r>
      <w:r>
        <w:rPr>
          <w:color w:val="auto"/>
          <w:highlight w:val="none"/>
        </w:rPr>
        <w:instrText xml:space="preserve"> PAGEREF _Toc1310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14:paraId="3BDFEBF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"_Toc6131" </w:instrText>
      </w:r>
      <w:r>
        <w:rPr>
          <w:color w:val="auto"/>
          <w:highlight w:val="none"/>
        </w:rPr>
        <w:fldChar w:fldCharType="separate"/>
      </w:r>
      <w:r>
        <w:rPr>
          <w:rFonts w:hint="eastAsia" w:ascii="宋体" w:hAnsi="宋体"/>
          <w:color w:val="auto"/>
          <w:szCs w:val="44"/>
          <w:highlight w:val="none"/>
        </w:rPr>
        <w:t>第二章 竞包人须知</w:t>
      </w:r>
      <w:r>
        <w:rPr>
          <w:color w:val="auto"/>
          <w:highlight w:val="none"/>
        </w:rPr>
        <w:tab/>
      </w:r>
      <w:r>
        <w:rPr>
          <w:color w:val="auto"/>
          <w:highlight w:val="none"/>
        </w:rPr>
        <w:fldChar w:fldCharType="begin"/>
      </w:r>
      <w:r>
        <w:rPr>
          <w:color w:val="auto"/>
          <w:highlight w:val="none"/>
        </w:rPr>
        <w:instrText xml:space="preserve"> PAGEREF _Toc6131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1C09CF86">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"_Toc8347" </w:instrText>
      </w:r>
      <w:r>
        <w:rPr>
          <w:color w:val="auto"/>
          <w:highlight w:val="none"/>
        </w:rPr>
        <w:fldChar w:fldCharType="separate"/>
      </w:r>
      <w:r>
        <w:rPr>
          <w:rFonts w:hint="eastAsia" w:ascii="宋体" w:hAnsi="宋体"/>
          <w:color w:val="auto"/>
          <w:szCs w:val="21"/>
          <w:highlight w:val="none"/>
        </w:rPr>
        <w:t>竞包人须知前附表</w:t>
      </w:r>
      <w:r>
        <w:rPr>
          <w:color w:val="auto"/>
          <w:highlight w:val="none"/>
        </w:rPr>
        <w:tab/>
      </w:r>
      <w:r>
        <w:rPr>
          <w:color w:val="auto"/>
          <w:highlight w:val="none"/>
        </w:rPr>
        <w:fldChar w:fldCharType="begin"/>
      </w:r>
      <w:r>
        <w:rPr>
          <w:color w:val="auto"/>
          <w:highlight w:val="none"/>
        </w:rPr>
        <w:instrText xml:space="preserve"> PAGEREF _Toc8347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14:paraId="699321F5">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"_Toc28703" </w:instrText>
      </w:r>
      <w:r>
        <w:rPr>
          <w:color w:val="auto"/>
          <w:highlight w:val="none"/>
        </w:rPr>
        <w:fldChar w:fldCharType="separate"/>
      </w:r>
      <w:r>
        <w:rPr>
          <w:rFonts w:hint="eastAsia" w:ascii="宋体" w:hAnsi="宋体"/>
          <w:color w:val="auto"/>
          <w:szCs w:val="21"/>
          <w:highlight w:val="none"/>
        </w:rPr>
        <w:t>附录1 资格审查条件（资质最低条件）</w:t>
      </w:r>
      <w:r>
        <w:rPr>
          <w:color w:val="auto"/>
          <w:highlight w:val="none"/>
        </w:rPr>
        <w:tab/>
      </w:r>
      <w:r>
        <w:rPr>
          <w:color w:val="auto"/>
          <w:highlight w:val="none"/>
        </w:rPr>
        <w:fldChar w:fldCharType="begin"/>
      </w:r>
      <w:r>
        <w:rPr>
          <w:color w:val="auto"/>
          <w:highlight w:val="none"/>
        </w:rPr>
        <w:instrText xml:space="preserve"> PAGEREF _Toc28703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61FB671B">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"_Toc32334" </w:instrText>
      </w:r>
      <w:r>
        <w:rPr>
          <w:color w:val="auto"/>
          <w:highlight w:val="none"/>
        </w:rPr>
        <w:fldChar w:fldCharType="separate"/>
      </w:r>
      <w:r>
        <w:rPr>
          <w:rFonts w:hint="eastAsia" w:ascii="宋体" w:hAnsi="宋体"/>
          <w:color w:val="auto"/>
          <w:szCs w:val="21"/>
          <w:highlight w:val="none"/>
        </w:rPr>
        <w:t>附录2 资格审查条件（业绩最低要求）</w:t>
      </w:r>
      <w:r>
        <w:rPr>
          <w:color w:val="auto"/>
          <w:highlight w:val="none"/>
        </w:rPr>
        <w:tab/>
      </w:r>
      <w:r>
        <w:rPr>
          <w:color w:val="auto"/>
          <w:highlight w:val="none"/>
        </w:rPr>
        <w:fldChar w:fldCharType="begin"/>
      </w:r>
      <w:r>
        <w:rPr>
          <w:color w:val="auto"/>
          <w:highlight w:val="none"/>
        </w:rPr>
        <w:instrText xml:space="preserve"> PAGEREF _Toc32334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6B0D5F7F">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"_Toc29186" </w:instrText>
      </w:r>
      <w:r>
        <w:rPr>
          <w:color w:val="auto"/>
          <w:highlight w:val="none"/>
        </w:rPr>
        <w:fldChar w:fldCharType="separate"/>
      </w:r>
      <w:r>
        <w:rPr>
          <w:rFonts w:hint="eastAsia" w:ascii="宋体" w:hAnsi="宋体"/>
          <w:color w:val="auto"/>
          <w:szCs w:val="21"/>
          <w:highlight w:val="none"/>
        </w:rPr>
        <w:t>附录3 资格审查条件（信誉最低要求）</w:t>
      </w:r>
      <w:r>
        <w:rPr>
          <w:color w:val="auto"/>
          <w:highlight w:val="none"/>
        </w:rPr>
        <w:tab/>
      </w:r>
      <w:r>
        <w:rPr>
          <w:color w:val="auto"/>
          <w:highlight w:val="none"/>
        </w:rPr>
        <w:fldChar w:fldCharType="begin"/>
      </w:r>
      <w:r>
        <w:rPr>
          <w:color w:val="auto"/>
          <w:highlight w:val="none"/>
        </w:rPr>
        <w:instrText xml:space="preserve"> PAGEREF _Toc29186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3D394251">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"_Toc16082" </w:instrText>
      </w:r>
      <w:r>
        <w:rPr>
          <w:color w:val="auto"/>
          <w:highlight w:val="none"/>
        </w:rPr>
        <w:fldChar w:fldCharType="separate"/>
      </w:r>
      <w:r>
        <w:rPr>
          <w:rFonts w:hint="eastAsia" w:ascii="宋体" w:hAnsi="宋体"/>
          <w:color w:val="auto"/>
          <w:szCs w:val="21"/>
          <w:highlight w:val="none"/>
        </w:rPr>
        <w:t>附录4 资格审查条件（项目负责人最低要求）</w:t>
      </w:r>
      <w:r>
        <w:rPr>
          <w:color w:val="auto"/>
          <w:highlight w:val="none"/>
        </w:rPr>
        <w:tab/>
      </w:r>
      <w:r>
        <w:rPr>
          <w:color w:val="auto"/>
          <w:highlight w:val="none"/>
        </w:rPr>
        <w:fldChar w:fldCharType="begin"/>
      </w:r>
      <w:r>
        <w:rPr>
          <w:color w:val="auto"/>
          <w:highlight w:val="none"/>
        </w:rPr>
        <w:instrText xml:space="preserve"> PAGEREF _Toc16082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53DDEB7F">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"_Toc6281" </w:instrText>
      </w:r>
      <w:r>
        <w:rPr>
          <w:color w:val="auto"/>
          <w:highlight w:val="none"/>
        </w:rPr>
        <w:fldChar w:fldCharType="separate"/>
      </w:r>
      <w:r>
        <w:rPr>
          <w:rFonts w:hint="eastAsia" w:ascii="宋体" w:hAnsi="宋体" w:cs="宋体"/>
          <w:color w:val="auto"/>
          <w:szCs w:val="24"/>
          <w:highlight w:val="none"/>
        </w:rPr>
        <w:t>□附录6 定标办法（本项目不适用）</w:t>
      </w:r>
      <w:r>
        <w:rPr>
          <w:color w:val="auto"/>
          <w:highlight w:val="none"/>
        </w:rPr>
        <w:tab/>
      </w:r>
      <w:r>
        <w:rPr>
          <w:color w:val="auto"/>
          <w:highlight w:val="none"/>
        </w:rPr>
        <w:fldChar w:fldCharType="begin"/>
      </w:r>
      <w:r>
        <w:rPr>
          <w:color w:val="auto"/>
          <w:highlight w:val="none"/>
        </w:rPr>
        <w:instrText xml:space="preserve"> PAGEREF _Toc6281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7661AF9F">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"_Toc25372" </w:instrText>
      </w:r>
      <w:r>
        <w:rPr>
          <w:color w:val="auto"/>
          <w:highlight w:val="none"/>
        </w:rPr>
        <w:fldChar w:fldCharType="separate"/>
      </w:r>
      <w:r>
        <w:rPr>
          <w:rFonts w:hint="eastAsia" w:ascii="宋体" w:hAnsi="宋体"/>
          <w:color w:val="auto"/>
          <w:szCs w:val="21"/>
          <w:highlight w:val="none"/>
        </w:rPr>
        <w:t>1. 总则</w:t>
      </w:r>
      <w:r>
        <w:rPr>
          <w:color w:val="auto"/>
          <w:highlight w:val="none"/>
        </w:rPr>
        <w:tab/>
      </w:r>
      <w:r>
        <w:rPr>
          <w:color w:val="auto"/>
          <w:highlight w:val="none"/>
        </w:rPr>
        <w:fldChar w:fldCharType="begin"/>
      </w:r>
      <w:r>
        <w:rPr>
          <w:color w:val="auto"/>
          <w:highlight w:val="none"/>
        </w:rPr>
        <w:instrText xml:space="preserve"> PAGEREF _Toc25372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63E3EDC6">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"_Toc29615" </w:instrText>
      </w:r>
      <w:r>
        <w:rPr>
          <w:color w:val="auto"/>
          <w:highlight w:val="none"/>
        </w:rPr>
        <w:fldChar w:fldCharType="separate"/>
      </w:r>
      <w:r>
        <w:rPr>
          <w:rFonts w:hint="eastAsia" w:ascii="宋体" w:hAnsi="宋体"/>
          <w:color w:val="auto"/>
          <w:szCs w:val="21"/>
          <w:highlight w:val="none"/>
        </w:rPr>
        <w:t>1.1 项目概况</w:t>
      </w:r>
      <w:r>
        <w:rPr>
          <w:color w:val="auto"/>
          <w:highlight w:val="none"/>
        </w:rPr>
        <w:tab/>
      </w:r>
      <w:r>
        <w:rPr>
          <w:color w:val="auto"/>
          <w:highlight w:val="none"/>
        </w:rPr>
        <w:fldChar w:fldCharType="begin"/>
      </w:r>
      <w:r>
        <w:rPr>
          <w:color w:val="auto"/>
          <w:highlight w:val="none"/>
        </w:rPr>
        <w:instrText xml:space="preserve"> PAGEREF _Toc29615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07E438E8">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"_Toc19140" </w:instrText>
      </w:r>
      <w:r>
        <w:rPr>
          <w:color w:val="auto"/>
          <w:highlight w:val="none"/>
        </w:rPr>
        <w:fldChar w:fldCharType="separate"/>
      </w:r>
      <w:r>
        <w:rPr>
          <w:rFonts w:hint="eastAsia" w:ascii="宋体" w:hAnsi="宋体"/>
          <w:color w:val="auto"/>
          <w:szCs w:val="21"/>
          <w:highlight w:val="none"/>
        </w:rPr>
        <w:t>1.2 发包项目的资金来源和落实情况</w:t>
      </w:r>
      <w:r>
        <w:rPr>
          <w:color w:val="auto"/>
          <w:highlight w:val="none"/>
        </w:rPr>
        <w:tab/>
      </w:r>
      <w:r>
        <w:rPr>
          <w:color w:val="auto"/>
          <w:highlight w:val="none"/>
        </w:rPr>
        <w:fldChar w:fldCharType="begin"/>
      </w:r>
      <w:r>
        <w:rPr>
          <w:color w:val="auto"/>
          <w:highlight w:val="none"/>
        </w:rPr>
        <w:instrText xml:space="preserve"> PAGEREF _Toc19140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2CF1E6E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"_Toc24069" </w:instrText>
      </w:r>
      <w:r>
        <w:rPr>
          <w:color w:val="auto"/>
          <w:highlight w:val="none"/>
        </w:rPr>
        <w:fldChar w:fldCharType="separate"/>
      </w:r>
      <w:r>
        <w:rPr>
          <w:rFonts w:hint="eastAsia" w:ascii="宋体" w:hAnsi="宋体"/>
          <w:color w:val="auto"/>
          <w:szCs w:val="21"/>
          <w:highlight w:val="none"/>
        </w:rPr>
        <w:t>1.3 发包范围、设计服务期限、质量要求和安全目标</w:t>
      </w:r>
      <w:r>
        <w:rPr>
          <w:color w:val="auto"/>
          <w:highlight w:val="none"/>
        </w:rPr>
        <w:tab/>
      </w:r>
      <w:r>
        <w:rPr>
          <w:color w:val="auto"/>
          <w:highlight w:val="none"/>
        </w:rPr>
        <w:fldChar w:fldCharType="begin"/>
      </w:r>
      <w:r>
        <w:rPr>
          <w:color w:val="auto"/>
          <w:highlight w:val="none"/>
        </w:rPr>
        <w:instrText xml:space="preserve"> PAGEREF _Toc24069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7FEE3EB9">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"_Toc499" </w:instrText>
      </w:r>
      <w:r>
        <w:rPr>
          <w:color w:val="auto"/>
          <w:highlight w:val="none"/>
        </w:rPr>
        <w:fldChar w:fldCharType="separate"/>
      </w:r>
      <w:r>
        <w:rPr>
          <w:rFonts w:hint="eastAsia" w:ascii="宋体" w:hAnsi="宋体"/>
          <w:color w:val="auto"/>
          <w:szCs w:val="21"/>
          <w:highlight w:val="none"/>
        </w:rPr>
        <w:t>1.4 竞包人资格要求</w:t>
      </w:r>
      <w:r>
        <w:rPr>
          <w:color w:val="auto"/>
          <w:highlight w:val="none"/>
        </w:rPr>
        <w:tab/>
      </w:r>
      <w:r>
        <w:rPr>
          <w:color w:val="auto"/>
          <w:highlight w:val="none"/>
        </w:rPr>
        <w:fldChar w:fldCharType="begin"/>
      </w:r>
      <w:r>
        <w:rPr>
          <w:color w:val="auto"/>
          <w:highlight w:val="none"/>
        </w:rPr>
        <w:instrText xml:space="preserve"> PAGEREF _Toc499 \h </w:instrText>
      </w:r>
      <w:r>
        <w:rPr>
          <w:color w:val="auto"/>
          <w:highlight w:val="none"/>
        </w:rPr>
        <w:fldChar w:fldCharType="separate"/>
      </w:r>
      <w:r>
        <w:rPr>
          <w:color w:val="auto"/>
          <w:highlight w:val="none"/>
        </w:rPr>
        <w:t>25</w:t>
      </w:r>
      <w:r>
        <w:rPr>
          <w:color w:val="auto"/>
          <w:highlight w:val="none"/>
        </w:rPr>
        <w:fldChar w:fldCharType="end"/>
      </w:r>
      <w:r>
        <w:rPr>
          <w:color w:val="auto"/>
          <w:highlight w:val="none"/>
        </w:rPr>
        <w:fldChar w:fldCharType="end"/>
      </w:r>
    </w:p>
    <w:p w14:paraId="3C851810">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"_Toc18313" </w:instrText>
      </w:r>
      <w:r>
        <w:rPr>
          <w:color w:val="auto"/>
          <w:highlight w:val="none"/>
        </w:rPr>
        <w:fldChar w:fldCharType="separate"/>
      </w:r>
      <w:r>
        <w:rPr>
          <w:rFonts w:hint="eastAsia" w:ascii="宋体" w:hAnsi="宋体"/>
          <w:color w:val="auto"/>
          <w:szCs w:val="21"/>
          <w:highlight w:val="none"/>
        </w:rPr>
        <w:t>1.5 费用承担</w:t>
      </w:r>
      <w:r>
        <w:rPr>
          <w:color w:val="auto"/>
          <w:highlight w:val="none"/>
        </w:rPr>
        <w:tab/>
      </w:r>
      <w:r>
        <w:rPr>
          <w:color w:val="auto"/>
          <w:highlight w:val="none"/>
        </w:rPr>
        <w:fldChar w:fldCharType="begin"/>
      </w:r>
      <w:r>
        <w:rPr>
          <w:color w:val="auto"/>
          <w:highlight w:val="none"/>
        </w:rPr>
        <w:instrText xml:space="preserve"> PAGEREF _Toc18313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0F6F4F8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"_Toc17238" </w:instrText>
      </w:r>
      <w:r>
        <w:rPr>
          <w:color w:val="auto"/>
          <w:highlight w:val="none"/>
        </w:rPr>
        <w:fldChar w:fldCharType="separate"/>
      </w:r>
      <w:r>
        <w:rPr>
          <w:rFonts w:hint="eastAsia" w:ascii="宋体" w:hAnsi="宋体"/>
          <w:color w:val="auto"/>
          <w:szCs w:val="21"/>
          <w:highlight w:val="none"/>
        </w:rPr>
        <w:t>1.6 保密</w:t>
      </w:r>
      <w:r>
        <w:rPr>
          <w:color w:val="auto"/>
          <w:highlight w:val="none"/>
        </w:rPr>
        <w:tab/>
      </w:r>
      <w:r>
        <w:rPr>
          <w:color w:val="auto"/>
          <w:highlight w:val="none"/>
        </w:rPr>
        <w:fldChar w:fldCharType="begin"/>
      </w:r>
      <w:r>
        <w:rPr>
          <w:color w:val="auto"/>
          <w:highlight w:val="none"/>
        </w:rPr>
        <w:instrText xml:space="preserve"> PAGEREF _Toc17238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22243EE8">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"_Toc30463" </w:instrText>
      </w:r>
      <w:r>
        <w:rPr>
          <w:color w:val="auto"/>
          <w:highlight w:val="none"/>
        </w:rPr>
        <w:fldChar w:fldCharType="separate"/>
      </w:r>
      <w:r>
        <w:rPr>
          <w:rFonts w:hint="eastAsia" w:ascii="宋体" w:hAnsi="宋体"/>
          <w:color w:val="auto"/>
          <w:szCs w:val="21"/>
          <w:highlight w:val="none"/>
        </w:rPr>
        <w:t>1.7 语言文字</w:t>
      </w:r>
      <w:r>
        <w:rPr>
          <w:color w:val="auto"/>
          <w:highlight w:val="none"/>
        </w:rPr>
        <w:tab/>
      </w:r>
      <w:r>
        <w:rPr>
          <w:color w:val="auto"/>
          <w:highlight w:val="none"/>
        </w:rPr>
        <w:fldChar w:fldCharType="begin"/>
      </w:r>
      <w:r>
        <w:rPr>
          <w:color w:val="auto"/>
          <w:highlight w:val="none"/>
        </w:rPr>
        <w:instrText xml:space="preserve"> PAGEREF _Toc30463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7733712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"_Toc32733" </w:instrText>
      </w:r>
      <w:r>
        <w:rPr>
          <w:color w:val="auto"/>
          <w:highlight w:val="none"/>
        </w:rPr>
        <w:fldChar w:fldCharType="separate"/>
      </w:r>
      <w:r>
        <w:rPr>
          <w:rFonts w:hint="eastAsia" w:ascii="宋体" w:hAnsi="宋体"/>
          <w:color w:val="auto"/>
          <w:szCs w:val="21"/>
          <w:highlight w:val="none"/>
        </w:rPr>
        <w:t>1.8 计量单位</w:t>
      </w:r>
      <w:r>
        <w:rPr>
          <w:color w:val="auto"/>
          <w:highlight w:val="none"/>
        </w:rPr>
        <w:tab/>
      </w:r>
      <w:r>
        <w:rPr>
          <w:color w:val="auto"/>
          <w:highlight w:val="none"/>
        </w:rPr>
        <w:fldChar w:fldCharType="begin"/>
      </w:r>
      <w:r>
        <w:rPr>
          <w:color w:val="auto"/>
          <w:highlight w:val="none"/>
        </w:rPr>
        <w:instrText xml:space="preserve"> PAGEREF _Toc32733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0BDF0D1D">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"_Toc32046" </w:instrText>
      </w:r>
      <w:r>
        <w:rPr>
          <w:color w:val="auto"/>
          <w:highlight w:val="none"/>
        </w:rPr>
        <w:fldChar w:fldCharType="separate"/>
      </w:r>
      <w:r>
        <w:rPr>
          <w:rFonts w:hint="eastAsia" w:ascii="宋体" w:hAnsi="宋体"/>
          <w:color w:val="auto"/>
          <w:szCs w:val="21"/>
          <w:highlight w:val="none"/>
        </w:rPr>
        <w:t>1.9 踏勘现场</w:t>
      </w:r>
      <w:r>
        <w:rPr>
          <w:color w:val="auto"/>
          <w:highlight w:val="none"/>
        </w:rPr>
        <w:tab/>
      </w:r>
      <w:r>
        <w:rPr>
          <w:color w:val="auto"/>
          <w:highlight w:val="none"/>
        </w:rPr>
        <w:fldChar w:fldCharType="begin"/>
      </w:r>
      <w:r>
        <w:rPr>
          <w:color w:val="auto"/>
          <w:highlight w:val="none"/>
        </w:rPr>
        <w:instrText xml:space="preserve"> PAGEREF _Toc32046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3EC815ED">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"_Toc13935" </w:instrText>
      </w:r>
      <w:r>
        <w:rPr>
          <w:color w:val="auto"/>
          <w:highlight w:val="none"/>
        </w:rPr>
        <w:fldChar w:fldCharType="separate"/>
      </w:r>
      <w:r>
        <w:rPr>
          <w:rFonts w:hint="eastAsia" w:ascii="宋体" w:hAnsi="宋体"/>
          <w:color w:val="auto"/>
          <w:szCs w:val="21"/>
          <w:highlight w:val="none"/>
        </w:rPr>
        <w:t>1.10 竞包预备会</w:t>
      </w:r>
      <w:r>
        <w:rPr>
          <w:color w:val="auto"/>
          <w:highlight w:val="none"/>
        </w:rPr>
        <w:tab/>
      </w:r>
      <w:r>
        <w:rPr>
          <w:color w:val="auto"/>
          <w:highlight w:val="none"/>
        </w:rPr>
        <w:fldChar w:fldCharType="begin"/>
      </w:r>
      <w:r>
        <w:rPr>
          <w:color w:val="auto"/>
          <w:highlight w:val="none"/>
        </w:rPr>
        <w:instrText xml:space="preserve"> PAGEREF _Toc13935 \h </w:instrText>
      </w:r>
      <w:r>
        <w:rPr>
          <w:color w:val="auto"/>
          <w:highlight w:val="none"/>
        </w:rPr>
        <w:fldChar w:fldCharType="separate"/>
      </w:r>
      <w:r>
        <w:rPr>
          <w:color w:val="auto"/>
          <w:highlight w:val="none"/>
        </w:rPr>
        <w:t>27</w:t>
      </w:r>
      <w:r>
        <w:rPr>
          <w:color w:val="auto"/>
          <w:highlight w:val="none"/>
        </w:rPr>
        <w:fldChar w:fldCharType="end"/>
      </w:r>
      <w:r>
        <w:rPr>
          <w:color w:val="auto"/>
          <w:highlight w:val="none"/>
        </w:rPr>
        <w:fldChar w:fldCharType="end"/>
      </w:r>
    </w:p>
    <w:p w14:paraId="68604D41">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"_Toc19521" </w:instrText>
      </w:r>
      <w:r>
        <w:rPr>
          <w:color w:val="auto"/>
          <w:highlight w:val="none"/>
        </w:rPr>
        <w:fldChar w:fldCharType="separate"/>
      </w:r>
      <w:r>
        <w:rPr>
          <w:rFonts w:hint="eastAsia" w:ascii="宋体" w:hAnsi="宋体"/>
          <w:color w:val="auto"/>
          <w:szCs w:val="21"/>
          <w:highlight w:val="none"/>
        </w:rPr>
        <w:t>1.11 分包</w:t>
      </w:r>
      <w:r>
        <w:rPr>
          <w:color w:val="auto"/>
          <w:highlight w:val="none"/>
        </w:rPr>
        <w:tab/>
      </w:r>
      <w:r>
        <w:rPr>
          <w:color w:val="auto"/>
          <w:highlight w:val="none"/>
        </w:rPr>
        <w:fldChar w:fldCharType="begin"/>
      </w:r>
      <w:r>
        <w:rPr>
          <w:color w:val="auto"/>
          <w:highlight w:val="none"/>
        </w:rPr>
        <w:instrText xml:space="preserve"> PAGEREF _Toc19521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1B38CA8F">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"_Toc1660" </w:instrText>
      </w:r>
      <w:r>
        <w:rPr>
          <w:color w:val="auto"/>
          <w:highlight w:val="none"/>
        </w:rPr>
        <w:fldChar w:fldCharType="separate"/>
      </w:r>
      <w:r>
        <w:rPr>
          <w:rFonts w:hint="eastAsia" w:ascii="宋体" w:hAnsi="宋体"/>
          <w:color w:val="auto"/>
          <w:szCs w:val="21"/>
          <w:highlight w:val="none"/>
        </w:rPr>
        <w:t>1.12响应和偏差</w:t>
      </w:r>
      <w:r>
        <w:rPr>
          <w:color w:val="auto"/>
          <w:highlight w:val="none"/>
        </w:rPr>
        <w:tab/>
      </w:r>
      <w:r>
        <w:rPr>
          <w:color w:val="auto"/>
          <w:highlight w:val="none"/>
        </w:rPr>
        <w:fldChar w:fldCharType="begin"/>
      </w:r>
      <w:r>
        <w:rPr>
          <w:color w:val="auto"/>
          <w:highlight w:val="none"/>
        </w:rPr>
        <w:instrText xml:space="preserve"> PAGEREF _Toc1660 \h </w:instrText>
      </w:r>
      <w:r>
        <w:rPr>
          <w:color w:val="auto"/>
          <w:highlight w:val="none"/>
        </w:rPr>
        <w:fldChar w:fldCharType="separate"/>
      </w:r>
      <w:r>
        <w:rPr>
          <w:color w:val="auto"/>
          <w:highlight w:val="none"/>
        </w:rPr>
        <w:t>28</w:t>
      </w:r>
      <w:r>
        <w:rPr>
          <w:color w:val="auto"/>
          <w:highlight w:val="none"/>
        </w:rPr>
        <w:fldChar w:fldCharType="end"/>
      </w:r>
      <w:r>
        <w:rPr>
          <w:color w:val="auto"/>
          <w:highlight w:val="none"/>
        </w:rPr>
        <w:fldChar w:fldCharType="end"/>
      </w:r>
    </w:p>
    <w:p w14:paraId="02B6064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"_Toc25450" </w:instrText>
      </w:r>
      <w:r>
        <w:rPr>
          <w:color w:val="auto"/>
          <w:highlight w:val="none"/>
        </w:rPr>
        <w:fldChar w:fldCharType="separate"/>
      </w:r>
      <w:r>
        <w:rPr>
          <w:rFonts w:hint="eastAsia" w:ascii="宋体" w:hAnsi="宋体"/>
          <w:color w:val="auto"/>
          <w:szCs w:val="21"/>
          <w:highlight w:val="none"/>
        </w:rPr>
        <w:t>2. 发包文件</w:t>
      </w:r>
      <w:r>
        <w:rPr>
          <w:color w:val="auto"/>
          <w:highlight w:val="none"/>
        </w:rPr>
        <w:tab/>
      </w:r>
      <w:r>
        <w:rPr>
          <w:color w:val="auto"/>
          <w:highlight w:val="none"/>
        </w:rPr>
        <w:fldChar w:fldCharType="begin"/>
      </w:r>
      <w:r>
        <w:rPr>
          <w:color w:val="auto"/>
          <w:highlight w:val="none"/>
        </w:rPr>
        <w:instrText xml:space="preserve"> PAGEREF _Toc25450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51818FC5">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"_Toc28080" </w:instrText>
      </w:r>
      <w:r>
        <w:rPr>
          <w:color w:val="auto"/>
          <w:highlight w:val="none"/>
        </w:rPr>
        <w:fldChar w:fldCharType="separate"/>
      </w:r>
      <w:r>
        <w:rPr>
          <w:rFonts w:hint="eastAsia" w:ascii="宋体" w:hAnsi="宋体"/>
          <w:color w:val="auto"/>
          <w:szCs w:val="21"/>
          <w:highlight w:val="none"/>
        </w:rPr>
        <w:t>2.1 发包文件的组成</w:t>
      </w:r>
      <w:r>
        <w:rPr>
          <w:color w:val="auto"/>
          <w:highlight w:val="none"/>
        </w:rPr>
        <w:tab/>
      </w:r>
      <w:r>
        <w:rPr>
          <w:color w:val="auto"/>
          <w:highlight w:val="none"/>
        </w:rPr>
        <w:fldChar w:fldCharType="begin"/>
      </w:r>
      <w:r>
        <w:rPr>
          <w:color w:val="auto"/>
          <w:highlight w:val="none"/>
        </w:rPr>
        <w:instrText xml:space="preserve"> PAGEREF _Toc28080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4EDDEC25">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"_Toc24542" </w:instrText>
      </w:r>
      <w:r>
        <w:rPr>
          <w:color w:val="auto"/>
          <w:highlight w:val="none"/>
        </w:rPr>
        <w:fldChar w:fldCharType="separate"/>
      </w:r>
      <w:r>
        <w:rPr>
          <w:rFonts w:hint="eastAsia" w:ascii="宋体" w:hAnsi="宋体"/>
          <w:color w:val="auto"/>
          <w:szCs w:val="21"/>
          <w:highlight w:val="none"/>
        </w:rPr>
        <w:t>2.2 发包文件的澄清</w:t>
      </w:r>
      <w:r>
        <w:rPr>
          <w:color w:val="auto"/>
          <w:highlight w:val="none"/>
        </w:rPr>
        <w:tab/>
      </w:r>
      <w:r>
        <w:rPr>
          <w:color w:val="auto"/>
          <w:highlight w:val="none"/>
        </w:rPr>
        <w:fldChar w:fldCharType="begin"/>
      </w:r>
      <w:r>
        <w:rPr>
          <w:color w:val="auto"/>
          <w:highlight w:val="none"/>
        </w:rPr>
        <w:instrText xml:space="preserve"> PAGEREF _Toc24542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5457A283">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"_Toc14782" </w:instrText>
      </w:r>
      <w:r>
        <w:rPr>
          <w:color w:val="auto"/>
          <w:highlight w:val="none"/>
        </w:rPr>
        <w:fldChar w:fldCharType="separate"/>
      </w:r>
      <w:r>
        <w:rPr>
          <w:rFonts w:hint="eastAsia" w:ascii="宋体" w:hAnsi="宋体"/>
          <w:color w:val="auto"/>
          <w:szCs w:val="21"/>
          <w:highlight w:val="none"/>
        </w:rPr>
        <w:t>2.3 发包文件的修改</w:t>
      </w:r>
      <w:r>
        <w:rPr>
          <w:color w:val="auto"/>
          <w:highlight w:val="none"/>
        </w:rPr>
        <w:tab/>
      </w:r>
      <w:r>
        <w:rPr>
          <w:color w:val="auto"/>
          <w:highlight w:val="none"/>
        </w:rPr>
        <w:fldChar w:fldCharType="begin"/>
      </w:r>
      <w:r>
        <w:rPr>
          <w:color w:val="auto"/>
          <w:highlight w:val="none"/>
        </w:rPr>
        <w:instrText xml:space="preserve"> PAGEREF _Toc14782 \h </w:instrText>
      </w:r>
      <w:r>
        <w:rPr>
          <w:color w:val="auto"/>
          <w:highlight w:val="none"/>
        </w:rPr>
        <w:fldChar w:fldCharType="separate"/>
      </w:r>
      <w:r>
        <w:rPr>
          <w:color w:val="auto"/>
          <w:highlight w:val="none"/>
        </w:rPr>
        <w:t>29</w:t>
      </w:r>
      <w:r>
        <w:rPr>
          <w:color w:val="auto"/>
          <w:highlight w:val="none"/>
        </w:rPr>
        <w:fldChar w:fldCharType="end"/>
      </w:r>
      <w:r>
        <w:rPr>
          <w:color w:val="auto"/>
          <w:highlight w:val="none"/>
        </w:rPr>
        <w:fldChar w:fldCharType="end"/>
      </w:r>
    </w:p>
    <w:p w14:paraId="3352A05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"_Toc12433" </w:instrText>
      </w:r>
      <w:r>
        <w:rPr>
          <w:color w:val="auto"/>
          <w:highlight w:val="none"/>
        </w:rPr>
        <w:fldChar w:fldCharType="separate"/>
      </w:r>
      <w:r>
        <w:rPr>
          <w:rFonts w:hint="eastAsia" w:ascii="宋体" w:hAnsi="宋体"/>
          <w:color w:val="auto"/>
          <w:szCs w:val="21"/>
          <w:highlight w:val="none"/>
        </w:rPr>
        <w:t>2.4 发包文件的异议</w:t>
      </w:r>
      <w:r>
        <w:rPr>
          <w:color w:val="auto"/>
          <w:highlight w:val="none"/>
        </w:rPr>
        <w:tab/>
      </w:r>
      <w:r>
        <w:rPr>
          <w:color w:val="auto"/>
          <w:highlight w:val="none"/>
        </w:rPr>
        <w:fldChar w:fldCharType="begin"/>
      </w:r>
      <w:r>
        <w:rPr>
          <w:color w:val="auto"/>
          <w:highlight w:val="none"/>
        </w:rPr>
        <w:instrText xml:space="preserve"> PAGEREF _Toc12433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4697D56C">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"_Toc15792" </w:instrText>
      </w:r>
      <w:r>
        <w:rPr>
          <w:color w:val="auto"/>
          <w:highlight w:val="none"/>
        </w:rPr>
        <w:fldChar w:fldCharType="separate"/>
      </w:r>
      <w:r>
        <w:rPr>
          <w:rFonts w:hint="eastAsia" w:ascii="宋体" w:hAnsi="宋体"/>
          <w:color w:val="auto"/>
          <w:szCs w:val="21"/>
          <w:highlight w:val="none"/>
        </w:rPr>
        <w:t>3. 竞包文件</w:t>
      </w:r>
      <w:r>
        <w:rPr>
          <w:color w:val="auto"/>
          <w:highlight w:val="none"/>
        </w:rPr>
        <w:tab/>
      </w:r>
      <w:r>
        <w:rPr>
          <w:color w:val="auto"/>
          <w:highlight w:val="none"/>
        </w:rPr>
        <w:fldChar w:fldCharType="begin"/>
      </w:r>
      <w:r>
        <w:rPr>
          <w:color w:val="auto"/>
          <w:highlight w:val="none"/>
        </w:rPr>
        <w:instrText xml:space="preserve"> PAGEREF _Toc15792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5FAE4A39">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"_Toc1213" </w:instrText>
      </w:r>
      <w:r>
        <w:rPr>
          <w:color w:val="auto"/>
          <w:highlight w:val="none"/>
        </w:rPr>
        <w:fldChar w:fldCharType="separate"/>
      </w:r>
      <w:r>
        <w:rPr>
          <w:rFonts w:hint="eastAsia" w:ascii="宋体" w:hAnsi="宋体"/>
          <w:color w:val="auto"/>
          <w:szCs w:val="21"/>
          <w:highlight w:val="none"/>
        </w:rPr>
        <w:t>3.1 竞包文件的组成</w:t>
      </w:r>
      <w:r>
        <w:rPr>
          <w:color w:val="auto"/>
          <w:highlight w:val="none"/>
        </w:rPr>
        <w:tab/>
      </w:r>
      <w:r>
        <w:rPr>
          <w:color w:val="auto"/>
          <w:highlight w:val="none"/>
        </w:rPr>
        <w:fldChar w:fldCharType="begin"/>
      </w:r>
      <w:r>
        <w:rPr>
          <w:color w:val="auto"/>
          <w:highlight w:val="none"/>
        </w:rPr>
        <w:instrText xml:space="preserve"> PAGEREF _Toc1213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5652CE0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"_Toc23239" </w:instrText>
      </w:r>
      <w:r>
        <w:rPr>
          <w:color w:val="auto"/>
          <w:highlight w:val="none"/>
        </w:rPr>
        <w:fldChar w:fldCharType="separate"/>
      </w:r>
      <w:r>
        <w:rPr>
          <w:rFonts w:hint="eastAsia" w:ascii="宋体" w:hAnsi="宋体"/>
          <w:color w:val="auto"/>
          <w:szCs w:val="21"/>
          <w:highlight w:val="none"/>
        </w:rPr>
        <w:t>3.2 竞包报价</w:t>
      </w:r>
      <w:r>
        <w:rPr>
          <w:color w:val="auto"/>
          <w:highlight w:val="none"/>
        </w:rPr>
        <w:tab/>
      </w:r>
      <w:r>
        <w:rPr>
          <w:color w:val="auto"/>
          <w:highlight w:val="none"/>
        </w:rPr>
        <w:fldChar w:fldCharType="begin"/>
      </w:r>
      <w:r>
        <w:rPr>
          <w:color w:val="auto"/>
          <w:highlight w:val="none"/>
        </w:rPr>
        <w:instrText xml:space="preserve"> PAGEREF _Toc23239 \h </w:instrText>
      </w:r>
      <w:r>
        <w:rPr>
          <w:color w:val="auto"/>
          <w:highlight w:val="none"/>
        </w:rPr>
        <w:fldChar w:fldCharType="separate"/>
      </w:r>
      <w:r>
        <w:rPr>
          <w:color w:val="auto"/>
          <w:highlight w:val="none"/>
        </w:rPr>
        <w:t>30</w:t>
      </w:r>
      <w:r>
        <w:rPr>
          <w:color w:val="auto"/>
          <w:highlight w:val="none"/>
        </w:rPr>
        <w:fldChar w:fldCharType="end"/>
      </w:r>
      <w:r>
        <w:rPr>
          <w:color w:val="auto"/>
          <w:highlight w:val="none"/>
        </w:rPr>
        <w:fldChar w:fldCharType="end"/>
      </w:r>
    </w:p>
    <w:p w14:paraId="6298CCC3">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"_Toc13257" </w:instrText>
      </w:r>
      <w:r>
        <w:rPr>
          <w:color w:val="auto"/>
          <w:highlight w:val="none"/>
        </w:rPr>
        <w:fldChar w:fldCharType="separate"/>
      </w:r>
      <w:r>
        <w:rPr>
          <w:rFonts w:hint="eastAsia" w:ascii="宋体" w:hAnsi="宋体"/>
          <w:color w:val="auto"/>
          <w:szCs w:val="21"/>
          <w:highlight w:val="none"/>
        </w:rPr>
        <w:t>3.3 竞包有效期</w:t>
      </w:r>
      <w:r>
        <w:rPr>
          <w:color w:val="auto"/>
          <w:highlight w:val="none"/>
        </w:rPr>
        <w:tab/>
      </w:r>
      <w:r>
        <w:rPr>
          <w:color w:val="auto"/>
          <w:highlight w:val="none"/>
        </w:rPr>
        <w:fldChar w:fldCharType="begin"/>
      </w:r>
      <w:r>
        <w:rPr>
          <w:color w:val="auto"/>
          <w:highlight w:val="none"/>
        </w:rPr>
        <w:instrText xml:space="preserve"> PAGEREF _Toc13257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0A6C43D3">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"_Toc16718" </w:instrText>
      </w:r>
      <w:r>
        <w:rPr>
          <w:color w:val="auto"/>
          <w:highlight w:val="none"/>
        </w:rPr>
        <w:fldChar w:fldCharType="separate"/>
      </w:r>
      <w:r>
        <w:rPr>
          <w:rFonts w:hint="eastAsia" w:ascii="宋体" w:hAnsi="宋体"/>
          <w:color w:val="auto"/>
          <w:szCs w:val="21"/>
          <w:highlight w:val="none"/>
        </w:rPr>
        <w:t>3.4 竞包保证金</w:t>
      </w:r>
      <w:r>
        <w:rPr>
          <w:color w:val="auto"/>
          <w:highlight w:val="none"/>
        </w:rPr>
        <w:tab/>
      </w:r>
      <w:r>
        <w:rPr>
          <w:color w:val="auto"/>
          <w:highlight w:val="none"/>
        </w:rPr>
        <w:fldChar w:fldCharType="begin"/>
      </w:r>
      <w:r>
        <w:rPr>
          <w:color w:val="auto"/>
          <w:highlight w:val="none"/>
        </w:rPr>
        <w:instrText xml:space="preserve"> PAGEREF _Toc16718 \h </w:instrText>
      </w:r>
      <w:r>
        <w:rPr>
          <w:color w:val="auto"/>
          <w:highlight w:val="none"/>
        </w:rPr>
        <w:fldChar w:fldCharType="separate"/>
      </w:r>
      <w:r>
        <w:rPr>
          <w:color w:val="auto"/>
          <w:highlight w:val="none"/>
        </w:rPr>
        <w:t>31</w:t>
      </w:r>
      <w:r>
        <w:rPr>
          <w:color w:val="auto"/>
          <w:highlight w:val="none"/>
        </w:rPr>
        <w:fldChar w:fldCharType="end"/>
      </w:r>
      <w:r>
        <w:rPr>
          <w:color w:val="auto"/>
          <w:highlight w:val="none"/>
        </w:rPr>
        <w:fldChar w:fldCharType="end"/>
      </w:r>
    </w:p>
    <w:p w14:paraId="5CD779C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"_Toc4432" </w:instrText>
      </w:r>
      <w:r>
        <w:rPr>
          <w:color w:val="auto"/>
          <w:highlight w:val="none"/>
        </w:rPr>
        <w:fldChar w:fldCharType="separate"/>
      </w:r>
      <w:r>
        <w:rPr>
          <w:rFonts w:hint="eastAsia" w:ascii="宋体" w:hAnsi="宋体"/>
          <w:color w:val="auto"/>
          <w:szCs w:val="21"/>
          <w:highlight w:val="none"/>
        </w:rPr>
        <w:t>3.5 资格审查资料</w:t>
      </w:r>
      <w:r>
        <w:rPr>
          <w:color w:val="auto"/>
          <w:highlight w:val="none"/>
        </w:rPr>
        <w:tab/>
      </w:r>
      <w:r>
        <w:rPr>
          <w:color w:val="auto"/>
          <w:highlight w:val="none"/>
        </w:rPr>
        <w:fldChar w:fldCharType="begin"/>
      </w:r>
      <w:r>
        <w:rPr>
          <w:color w:val="auto"/>
          <w:highlight w:val="none"/>
        </w:rPr>
        <w:instrText xml:space="preserve"> PAGEREF _Toc4432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0876AA7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"_Toc12553" </w:instrText>
      </w:r>
      <w:r>
        <w:rPr>
          <w:color w:val="auto"/>
          <w:highlight w:val="none"/>
        </w:rPr>
        <w:fldChar w:fldCharType="separate"/>
      </w:r>
      <w:r>
        <w:rPr>
          <w:rFonts w:hint="eastAsia" w:ascii="宋体" w:hAnsi="宋体"/>
          <w:color w:val="auto"/>
          <w:szCs w:val="21"/>
          <w:highlight w:val="none"/>
        </w:rPr>
        <w:t>3.6 备选竞包方案</w:t>
      </w:r>
      <w:r>
        <w:rPr>
          <w:color w:val="auto"/>
          <w:highlight w:val="none"/>
        </w:rPr>
        <w:tab/>
      </w:r>
      <w:r>
        <w:rPr>
          <w:color w:val="auto"/>
          <w:highlight w:val="none"/>
        </w:rPr>
        <w:fldChar w:fldCharType="begin"/>
      </w:r>
      <w:r>
        <w:rPr>
          <w:color w:val="auto"/>
          <w:highlight w:val="none"/>
        </w:rPr>
        <w:instrText xml:space="preserve"> PAGEREF _Toc12553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7ACA8B2F">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"_Toc32304" </w:instrText>
      </w:r>
      <w:r>
        <w:rPr>
          <w:color w:val="auto"/>
          <w:highlight w:val="none"/>
        </w:rPr>
        <w:fldChar w:fldCharType="separate"/>
      </w:r>
      <w:r>
        <w:rPr>
          <w:rFonts w:hint="eastAsia" w:ascii="宋体" w:hAnsi="宋体"/>
          <w:color w:val="auto"/>
          <w:szCs w:val="21"/>
          <w:highlight w:val="none"/>
        </w:rPr>
        <w:t>4. 竞包</w:t>
      </w:r>
      <w:r>
        <w:rPr>
          <w:color w:val="auto"/>
          <w:highlight w:val="none"/>
        </w:rPr>
        <w:tab/>
      </w:r>
      <w:r>
        <w:rPr>
          <w:color w:val="auto"/>
          <w:highlight w:val="none"/>
        </w:rPr>
        <w:fldChar w:fldCharType="begin"/>
      </w:r>
      <w:r>
        <w:rPr>
          <w:color w:val="auto"/>
          <w:highlight w:val="none"/>
        </w:rPr>
        <w:instrText xml:space="preserve"> PAGEREF _Toc32304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268C5C13">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"_Toc20658" </w:instrText>
      </w:r>
      <w:r>
        <w:rPr>
          <w:color w:val="auto"/>
          <w:highlight w:val="none"/>
        </w:rPr>
        <w:fldChar w:fldCharType="separate"/>
      </w:r>
      <w:r>
        <w:rPr>
          <w:rFonts w:hint="eastAsia" w:ascii="宋体" w:hAnsi="宋体"/>
          <w:color w:val="auto"/>
          <w:szCs w:val="21"/>
          <w:highlight w:val="none"/>
        </w:rPr>
        <w:t>4.1 竞包文件的密封和标识</w:t>
      </w:r>
      <w:r>
        <w:rPr>
          <w:color w:val="auto"/>
          <w:highlight w:val="none"/>
        </w:rPr>
        <w:tab/>
      </w:r>
      <w:r>
        <w:rPr>
          <w:color w:val="auto"/>
          <w:highlight w:val="none"/>
        </w:rPr>
        <w:fldChar w:fldCharType="begin"/>
      </w:r>
      <w:r>
        <w:rPr>
          <w:color w:val="auto"/>
          <w:highlight w:val="none"/>
        </w:rPr>
        <w:instrText xml:space="preserve"> PAGEREF _Toc20658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342EA79D">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"_Toc1802" </w:instrText>
      </w:r>
      <w:r>
        <w:rPr>
          <w:color w:val="auto"/>
          <w:highlight w:val="none"/>
        </w:rPr>
        <w:fldChar w:fldCharType="separate"/>
      </w:r>
      <w:r>
        <w:rPr>
          <w:rFonts w:hint="eastAsia" w:ascii="宋体" w:hAnsi="宋体"/>
          <w:color w:val="auto"/>
          <w:szCs w:val="21"/>
          <w:highlight w:val="none"/>
        </w:rPr>
        <w:t>4.2 竞包文件的递交</w:t>
      </w:r>
      <w:r>
        <w:rPr>
          <w:color w:val="auto"/>
          <w:highlight w:val="none"/>
        </w:rPr>
        <w:tab/>
      </w:r>
      <w:r>
        <w:rPr>
          <w:color w:val="auto"/>
          <w:highlight w:val="none"/>
        </w:rPr>
        <w:fldChar w:fldCharType="begin"/>
      </w:r>
      <w:r>
        <w:rPr>
          <w:color w:val="auto"/>
          <w:highlight w:val="none"/>
        </w:rPr>
        <w:instrText xml:space="preserve"> PAGEREF _Toc1802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72332ED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"_Toc21781" </w:instrText>
      </w:r>
      <w:r>
        <w:rPr>
          <w:color w:val="auto"/>
          <w:highlight w:val="none"/>
        </w:rPr>
        <w:fldChar w:fldCharType="separate"/>
      </w:r>
      <w:r>
        <w:rPr>
          <w:rFonts w:hint="eastAsia" w:ascii="宋体" w:hAnsi="宋体"/>
          <w:color w:val="auto"/>
          <w:szCs w:val="21"/>
          <w:highlight w:val="none"/>
        </w:rPr>
        <w:t>4.3 竞包文件的修改与撤回</w:t>
      </w:r>
      <w:r>
        <w:rPr>
          <w:color w:val="auto"/>
          <w:highlight w:val="none"/>
        </w:rPr>
        <w:tab/>
      </w:r>
      <w:r>
        <w:rPr>
          <w:color w:val="auto"/>
          <w:highlight w:val="none"/>
        </w:rPr>
        <w:fldChar w:fldCharType="begin"/>
      </w:r>
      <w:r>
        <w:rPr>
          <w:color w:val="auto"/>
          <w:highlight w:val="none"/>
        </w:rPr>
        <w:instrText xml:space="preserve"> PAGEREF _Toc21781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14:paraId="67341167">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"_Toc26540" </w:instrText>
      </w:r>
      <w:r>
        <w:rPr>
          <w:color w:val="auto"/>
          <w:highlight w:val="none"/>
        </w:rPr>
        <w:fldChar w:fldCharType="separate"/>
      </w:r>
      <w:r>
        <w:rPr>
          <w:rFonts w:hint="eastAsia" w:ascii="宋体" w:hAnsi="宋体"/>
          <w:color w:val="auto"/>
          <w:szCs w:val="21"/>
          <w:highlight w:val="none"/>
        </w:rPr>
        <w:t>5. 开标</w:t>
      </w:r>
      <w:r>
        <w:rPr>
          <w:color w:val="auto"/>
          <w:highlight w:val="none"/>
        </w:rPr>
        <w:tab/>
      </w:r>
      <w:r>
        <w:rPr>
          <w:color w:val="auto"/>
          <w:highlight w:val="none"/>
        </w:rPr>
        <w:fldChar w:fldCharType="begin"/>
      </w:r>
      <w:r>
        <w:rPr>
          <w:color w:val="auto"/>
          <w:highlight w:val="none"/>
        </w:rPr>
        <w:instrText xml:space="preserve"> PAGEREF _Toc26540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0CF5A216">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"_Toc2547" </w:instrText>
      </w:r>
      <w:r>
        <w:rPr>
          <w:color w:val="auto"/>
          <w:highlight w:val="none"/>
        </w:rPr>
        <w:fldChar w:fldCharType="separate"/>
      </w:r>
      <w:r>
        <w:rPr>
          <w:rFonts w:hint="eastAsia" w:ascii="宋体" w:hAnsi="宋体"/>
          <w:color w:val="auto"/>
          <w:szCs w:val="21"/>
          <w:highlight w:val="none"/>
        </w:rPr>
        <w:t>5.1 开标时间和地点</w:t>
      </w:r>
      <w:r>
        <w:rPr>
          <w:color w:val="auto"/>
          <w:highlight w:val="none"/>
        </w:rPr>
        <w:tab/>
      </w:r>
      <w:r>
        <w:rPr>
          <w:color w:val="auto"/>
          <w:highlight w:val="none"/>
        </w:rPr>
        <w:fldChar w:fldCharType="begin"/>
      </w:r>
      <w:r>
        <w:rPr>
          <w:color w:val="auto"/>
          <w:highlight w:val="none"/>
        </w:rPr>
        <w:instrText xml:space="preserve"> PAGEREF _Toc2547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71386BC7">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"_Toc25704" </w:instrText>
      </w:r>
      <w:r>
        <w:rPr>
          <w:color w:val="auto"/>
          <w:highlight w:val="none"/>
        </w:rPr>
        <w:fldChar w:fldCharType="separate"/>
      </w:r>
      <w:r>
        <w:rPr>
          <w:rFonts w:hint="eastAsia" w:ascii="宋体" w:hAnsi="宋体"/>
          <w:color w:val="auto"/>
          <w:szCs w:val="21"/>
          <w:highlight w:val="none"/>
        </w:rPr>
        <w:t>5.2 开标程序</w:t>
      </w:r>
      <w:r>
        <w:rPr>
          <w:color w:val="auto"/>
          <w:highlight w:val="none"/>
        </w:rPr>
        <w:tab/>
      </w:r>
      <w:r>
        <w:rPr>
          <w:color w:val="auto"/>
          <w:highlight w:val="none"/>
        </w:rPr>
        <w:fldChar w:fldCharType="begin"/>
      </w:r>
      <w:r>
        <w:rPr>
          <w:color w:val="auto"/>
          <w:highlight w:val="none"/>
        </w:rPr>
        <w:instrText xml:space="preserve"> PAGEREF _Toc25704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3567997D">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"_Toc25310" </w:instrText>
      </w:r>
      <w:r>
        <w:rPr>
          <w:color w:val="auto"/>
          <w:highlight w:val="none"/>
        </w:rPr>
        <w:fldChar w:fldCharType="separate"/>
      </w:r>
      <w:r>
        <w:rPr>
          <w:rFonts w:hint="eastAsia" w:ascii="宋体" w:hAnsi="宋体"/>
          <w:color w:val="auto"/>
          <w:szCs w:val="21"/>
          <w:highlight w:val="none"/>
        </w:rPr>
        <w:t>5.3 开标异议</w:t>
      </w:r>
      <w:r>
        <w:rPr>
          <w:color w:val="auto"/>
          <w:highlight w:val="none"/>
        </w:rPr>
        <w:tab/>
      </w:r>
      <w:r>
        <w:rPr>
          <w:color w:val="auto"/>
          <w:highlight w:val="none"/>
        </w:rPr>
        <w:fldChar w:fldCharType="begin"/>
      </w:r>
      <w:r>
        <w:rPr>
          <w:color w:val="auto"/>
          <w:highlight w:val="none"/>
        </w:rPr>
        <w:instrText xml:space="preserve"> PAGEREF _Toc25310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0E24334F">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"_Toc2281" </w:instrText>
      </w:r>
      <w:r>
        <w:rPr>
          <w:color w:val="auto"/>
          <w:highlight w:val="none"/>
        </w:rPr>
        <w:fldChar w:fldCharType="separate"/>
      </w:r>
      <w:r>
        <w:rPr>
          <w:rFonts w:hint="eastAsia" w:ascii="宋体" w:hAnsi="宋体"/>
          <w:color w:val="auto"/>
          <w:szCs w:val="21"/>
          <w:highlight w:val="none"/>
        </w:rPr>
        <w:t>6. 评标</w:t>
      </w:r>
      <w:r>
        <w:rPr>
          <w:color w:val="auto"/>
          <w:highlight w:val="none"/>
        </w:rPr>
        <w:tab/>
      </w:r>
      <w:r>
        <w:rPr>
          <w:color w:val="auto"/>
          <w:highlight w:val="none"/>
        </w:rPr>
        <w:fldChar w:fldCharType="begin"/>
      </w:r>
      <w:r>
        <w:rPr>
          <w:color w:val="auto"/>
          <w:highlight w:val="none"/>
        </w:rPr>
        <w:instrText xml:space="preserve"> PAGEREF _Toc2281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1BD169B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"_Toc4528" </w:instrText>
      </w:r>
      <w:r>
        <w:rPr>
          <w:color w:val="auto"/>
          <w:highlight w:val="none"/>
        </w:rPr>
        <w:fldChar w:fldCharType="separate"/>
      </w:r>
      <w:r>
        <w:rPr>
          <w:rFonts w:hint="eastAsia" w:ascii="宋体" w:hAnsi="宋体"/>
          <w:color w:val="auto"/>
          <w:szCs w:val="21"/>
          <w:highlight w:val="none"/>
        </w:rPr>
        <w:t>6.1 评标委员会</w:t>
      </w:r>
      <w:r>
        <w:rPr>
          <w:color w:val="auto"/>
          <w:highlight w:val="none"/>
        </w:rPr>
        <w:tab/>
      </w:r>
      <w:r>
        <w:rPr>
          <w:color w:val="auto"/>
          <w:highlight w:val="none"/>
        </w:rPr>
        <w:fldChar w:fldCharType="begin"/>
      </w:r>
      <w:r>
        <w:rPr>
          <w:color w:val="auto"/>
          <w:highlight w:val="none"/>
        </w:rPr>
        <w:instrText xml:space="preserve"> PAGEREF _Toc4528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017AF10B">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"_Toc10522" </w:instrText>
      </w:r>
      <w:r>
        <w:rPr>
          <w:color w:val="auto"/>
          <w:highlight w:val="none"/>
        </w:rPr>
        <w:fldChar w:fldCharType="separate"/>
      </w:r>
      <w:r>
        <w:rPr>
          <w:rFonts w:hint="eastAsia" w:ascii="宋体" w:hAnsi="宋体"/>
          <w:color w:val="auto"/>
          <w:szCs w:val="21"/>
          <w:highlight w:val="none"/>
        </w:rPr>
        <w:t>6.2 评标原则</w:t>
      </w:r>
      <w:r>
        <w:rPr>
          <w:color w:val="auto"/>
          <w:highlight w:val="none"/>
        </w:rPr>
        <w:tab/>
      </w:r>
      <w:r>
        <w:rPr>
          <w:color w:val="auto"/>
          <w:highlight w:val="none"/>
        </w:rPr>
        <w:fldChar w:fldCharType="begin"/>
      </w:r>
      <w:r>
        <w:rPr>
          <w:color w:val="auto"/>
          <w:highlight w:val="none"/>
        </w:rPr>
        <w:instrText xml:space="preserve"> PAGEREF _Toc10522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6D955FF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"_Toc9807" </w:instrText>
      </w:r>
      <w:r>
        <w:rPr>
          <w:color w:val="auto"/>
          <w:highlight w:val="none"/>
        </w:rPr>
        <w:fldChar w:fldCharType="separate"/>
      </w:r>
      <w:r>
        <w:rPr>
          <w:rFonts w:hint="eastAsia" w:ascii="宋体" w:hAnsi="宋体"/>
          <w:color w:val="auto"/>
          <w:szCs w:val="21"/>
          <w:highlight w:val="none"/>
        </w:rPr>
        <w:t>6.3 评标</w:t>
      </w:r>
      <w:r>
        <w:rPr>
          <w:color w:val="auto"/>
          <w:highlight w:val="none"/>
        </w:rPr>
        <w:tab/>
      </w:r>
      <w:r>
        <w:rPr>
          <w:color w:val="auto"/>
          <w:highlight w:val="none"/>
        </w:rPr>
        <w:fldChar w:fldCharType="begin"/>
      </w:r>
      <w:r>
        <w:rPr>
          <w:color w:val="auto"/>
          <w:highlight w:val="none"/>
        </w:rPr>
        <w:instrText xml:space="preserve"> PAGEREF _Toc9807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770CE550">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"_Toc6721" </w:instrText>
      </w:r>
      <w:r>
        <w:rPr>
          <w:color w:val="auto"/>
          <w:highlight w:val="none"/>
        </w:rPr>
        <w:fldChar w:fldCharType="separate"/>
      </w:r>
      <w:r>
        <w:rPr>
          <w:rFonts w:hint="eastAsia" w:ascii="宋体" w:hAnsi="宋体"/>
          <w:color w:val="auto"/>
          <w:szCs w:val="21"/>
          <w:highlight w:val="none"/>
        </w:rPr>
        <w:t>7. 合同授予</w:t>
      </w:r>
      <w:r>
        <w:rPr>
          <w:color w:val="auto"/>
          <w:highlight w:val="none"/>
        </w:rPr>
        <w:tab/>
      </w:r>
      <w:r>
        <w:rPr>
          <w:color w:val="auto"/>
          <w:highlight w:val="none"/>
        </w:rPr>
        <w:fldChar w:fldCharType="begin"/>
      </w:r>
      <w:r>
        <w:rPr>
          <w:color w:val="auto"/>
          <w:highlight w:val="none"/>
        </w:rPr>
        <w:instrText xml:space="preserve"> PAGEREF _Toc6721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5B3CB3DC">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"_Toc6630" </w:instrText>
      </w:r>
      <w:r>
        <w:rPr>
          <w:color w:val="auto"/>
          <w:highlight w:val="none"/>
        </w:rPr>
        <w:fldChar w:fldCharType="separate"/>
      </w:r>
      <w:r>
        <w:rPr>
          <w:rFonts w:hint="eastAsia" w:ascii="宋体" w:hAnsi="宋体"/>
          <w:color w:val="auto"/>
          <w:szCs w:val="21"/>
          <w:highlight w:val="none"/>
        </w:rPr>
        <w:t>7.1 中包候选人公示</w:t>
      </w:r>
      <w:r>
        <w:rPr>
          <w:color w:val="auto"/>
          <w:highlight w:val="none"/>
        </w:rPr>
        <w:tab/>
      </w:r>
      <w:r>
        <w:rPr>
          <w:color w:val="auto"/>
          <w:highlight w:val="none"/>
        </w:rPr>
        <w:fldChar w:fldCharType="begin"/>
      </w:r>
      <w:r>
        <w:rPr>
          <w:color w:val="auto"/>
          <w:highlight w:val="none"/>
        </w:rPr>
        <w:instrText xml:space="preserve"> PAGEREF _Toc6630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648BB685">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"_Toc28152" </w:instrText>
      </w:r>
      <w:r>
        <w:rPr>
          <w:color w:val="auto"/>
          <w:highlight w:val="none"/>
        </w:rPr>
        <w:fldChar w:fldCharType="separate"/>
      </w:r>
      <w:r>
        <w:rPr>
          <w:rFonts w:hint="eastAsia" w:ascii="宋体" w:hAnsi="宋体"/>
          <w:color w:val="auto"/>
          <w:szCs w:val="21"/>
          <w:highlight w:val="none"/>
        </w:rPr>
        <w:t>7.2 评标结果异议</w:t>
      </w:r>
      <w:r>
        <w:rPr>
          <w:color w:val="auto"/>
          <w:highlight w:val="none"/>
        </w:rPr>
        <w:tab/>
      </w:r>
      <w:r>
        <w:rPr>
          <w:color w:val="auto"/>
          <w:highlight w:val="none"/>
        </w:rPr>
        <w:fldChar w:fldCharType="begin"/>
      </w:r>
      <w:r>
        <w:rPr>
          <w:color w:val="auto"/>
          <w:highlight w:val="none"/>
        </w:rPr>
        <w:instrText xml:space="preserve"> PAGEREF _Toc28152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13CA9CAF">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"_Toc2160" </w:instrText>
      </w:r>
      <w:r>
        <w:rPr>
          <w:color w:val="auto"/>
          <w:highlight w:val="none"/>
        </w:rPr>
        <w:fldChar w:fldCharType="separate"/>
      </w:r>
      <w:r>
        <w:rPr>
          <w:rFonts w:hint="eastAsia" w:ascii="宋体" w:hAnsi="宋体"/>
          <w:color w:val="auto"/>
          <w:szCs w:val="21"/>
          <w:highlight w:val="none"/>
        </w:rPr>
        <w:t>7.3 中包候选人履约能力审查</w:t>
      </w:r>
      <w:r>
        <w:rPr>
          <w:color w:val="auto"/>
          <w:highlight w:val="none"/>
        </w:rPr>
        <w:tab/>
      </w:r>
      <w:r>
        <w:rPr>
          <w:color w:val="auto"/>
          <w:highlight w:val="none"/>
        </w:rPr>
        <w:fldChar w:fldCharType="begin"/>
      </w:r>
      <w:r>
        <w:rPr>
          <w:color w:val="auto"/>
          <w:highlight w:val="none"/>
        </w:rPr>
        <w:instrText xml:space="preserve"> PAGEREF _Toc2160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478047A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"_Toc1514" </w:instrText>
      </w:r>
      <w:r>
        <w:rPr>
          <w:color w:val="auto"/>
          <w:highlight w:val="none"/>
        </w:rPr>
        <w:fldChar w:fldCharType="separate"/>
      </w:r>
      <w:r>
        <w:rPr>
          <w:rFonts w:hint="eastAsia" w:ascii="宋体" w:hAnsi="宋体"/>
          <w:color w:val="auto"/>
          <w:szCs w:val="21"/>
          <w:highlight w:val="none"/>
        </w:rPr>
        <w:t>7.4 定标</w:t>
      </w:r>
      <w:r>
        <w:rPr>
          <w:color w:val="auto"/>
          <w:highlight w:val="none"/>
        </w:rPr>
        <w:tab/>
      </w:r>
      <w:r>
        <w:rPr>
          <w:color w:val="auto"/>
          <w:highlight w:val="none"/>
        </w:rPr>
        <w:fldChar w:fldCharType="begin"/>
      </w:r>
      <w:r>
        <w:rPr>
          <w:color w:val="auto"/>
          <w:highlight w:val="none"/>
        </w:rPr>
        <w:instrText xml:space="preserve"> PAGEREF _Toc1514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59DB673A">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"_Toc13319" </w:instrText>
      </w:r>
      <w:r>
        <w:rPr>
          <w:color w:val="auto"/>
          <w:highlight w:val="none"/>
        </w:rPr>
        <w:fldChar w:fldCharType="separate"/>
      </w:r>
      <w:r>
        <w:rPr>
          <w:rFonts w:hint="eastAsia" w:ascii="宋体" w:hAnsi="宋体"/>
          <w:color w:val="auto"/>
          <w:szCs w:val="21"/>
          <w:highlight w:val="none"/>
        </w:rPr>
        <w:t>7.5 中包通知</w:t>
      </w:r>
      <w:r>
        <w:rPr>
          <w:color w:val="auto"/>
          <w:highlight w:val="none"/>
        </w:rPr>
        <w:tab/>
      </w:r>
      <w:r>
        <w:rPr>
          <w:color w:val="auto"/>
          <w:highlight w:val="none"/>
        </w:rPr>
        <w:fldChar w:fldCharType="begin"/>
      </w:r>
      <w:r>
        <w:rPr>
          <w:color w:val="auto"/>
          <w:highlight w:val="none"/>
        </w:rPr>
        <w:instrText xml:space="preserve"> PAGEREF _Toc13319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46FFE6C9">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"_Toc20094" </w:instrText>
      </w:r>
      <w:r>
        <w:rPr>
          <w:color w:val="auto"/>
          <w:highlight w:val="none"/>
        </w:rPr>
        <w:fldChar w:fldCharType="separate"/>
      </w:r>
      <w:r>
        <w:rPr>
          <w:rFonts w:hint="eastAsia" w:ascii="宋体" w:hAnsi="宋体"/>
          <w:color w:val="auto"/>
          <w:szCs w:val="21"/>
          <w:highlight w:val="none"/>
        </w:rPr>
        <w:t>7.6 中包结果公告</w:t>
      </w:r>
      <w:r>
        <w:rPr>
          <w:color w:val="auto"/>
          <w:highlight w:val="none"/>
        </w:rPr>
        <w:tab/>
      </w:r>
      <w:r>
        <w:rPr>
          <w:color w:val="auto"/>
          <w:highlight w:val="none"/>
        </w:rPr>
        <w:fldChar w:fldCharType="begin"/>
      </w:r>
      <w:r>
        <w:rPr>
          <w:color w:val="auto"/>
          <w:highlight w:val="none"/>
        </w:rPr>
        <w:instrText xml:space="preserve"> PAGEREF _Toc20094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7D0CFE4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"_Toc1889" </w:instrText>
      </w:r>
      <w:r>
        <w:rPr>
          <w:color w:val="auto"/>
          <w:highlight w:val="none"/>
        </w:rPr>
        <w:fldChar w:fldCharType="separate"/>
      </w:r>
      <w:r>
        <w:rPr>
          <w:rFonts w:hint="eastAsia" w:ascii="宋体" w:hAnsi="宋体"/>
          <w:color w:val="auto"/>
          <w:szCs w:val="21"/>
          <w:highlight w:val="none"/>
        </w:rPr>
        <w:t>7.7 技术成果经济补偿</w:t>
      </w:r>
      <w:r>
        <w:rPr>
          <w:color w:val="auto"/>
          <w:highlight w:val="none"/>
        </w:rPr>
        <w:tab/>
      </w:r>
      <w:r>
        <w:rPr>
          <w:color w:val="auto"/>
          <w:highlight w:val="none"/>
        </w:rPr>
        <w:fldChar w:fldCharType="begin"/>
      </w:r>
      <w:r>
        <w:rPr>
          <w:color w:val="auto"/>
          <w:highlight w:val="none"/>
        </w:rPr>
        <w:instrText xml:space="preserve"> PAGEREF _Toc1889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0B33D09C">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"_Toc8150" </w:instrText>
      </w:r>
      <w:r>
        <w:rPr>
          <w:color w:val="auto"/>
          <w:highlight w:val="none"/>
        </w:rPr>
        <w:fldChar w:fldCharType="separate"/>
      </w:r>
      <w:r>
        <w:rPr>
          <w:rFonts w:hint="eastAsia" w:ascii="宋体" w:hAnsi="宋体"/>
          <w:color w:val="auto"/>
          <w:szCs w:val="21"/>
          <w:highlight w:val="none"/>
        </w:rPr>
        <w:t>7.8 履约保证金</w:t>
      </w:r>
      <w:r>
        <w:rPr>
          <w:color w:val="auto"/>
          <w:highlight w:val="none"/>
        </w:rPr>
        <w:tab/>
      </w:r>
      <w:r>
        <w:rPr>
          <w:color w:val="auto"/>
          <w:highlight w:val="none"/>
        </w:rPr>
        <w:fldChar w:fldCharType="begin"/>
      </w:r>
      <w:r>
        <w:rPr>
          <w:color w:val="auto"/>
          <w:highlight w:val="none"/>
        </w:rPr>
        <w:instrText xml:space="preserve"> PAGEREF _Toc8150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0A8BFFDB">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"_Toc14670" </w:instrText>
      </w:r>
      <w:r>
        <w:rPr>
          <w:color w:val="auto"/>
          <w:highlight w:val="none"/>
        </w:rPr>
        <w:fldChar w:fldCharType="separate"/>
      </w:r>
      <w:r>
        <w:rPr>
          <w:rFonts w:hint="eastAsia" w:ascii="宋体" w:hAnsi="宋体"/>
          <w:color w:val="auto"/>
          <w:szCs w:val="21"/>
          <w:highlight w:val="none"/>
        </w:rPr>
        <w:t>7.9 签订合同</w:t>
      </w:r>
      <w:r>
        <w:rPr>
          <w:color w:val="auto"/>
          <w:highlight w:val="none"/>
        </w:rPr>
        <w:tab/>
      </w:r>
      <w:r>
        <w:rPr>
          <w:color w:val="auto"/>
          <w:highlight w:val="none"/>
        </w:rPr>
        <w:fldChar w:fldCharType="begin"/>
      </w:r>
      <w:r>
        <w:rPr>
          <w:color w:val="auto"/>
          <w:highlight w:val="none"/>
        </w:rPr>
        <w:instrText xml:space="preserve"> PAGEREF _Toc14670 \h </w:instrText>
      </w:r>
      <w:r>
        <w:rPr>
          <w:color w:val="auto"/>
          <w:highlight w:val="none"/>
        </w:rPr>
        <w:fldChar w:fldCharType="separate"/>
      </w:r>
      <w:r>
        <w:rPr>
          <w:color w:val="auto"/>
          <w:highlight w:val="none"/>
        </w:rPr>
        <w:t>36</w:t>
      </w:r>
      <w:r>
        <w:rPr>
          <w:color w:val="auto"/>
          <w:highlight w:val="none"/>
        </w:rPr>
        <w:fldChar w:fldCharType="end"/>
      </w:r>
      <w:r>
        <w:rPr>
          <w:color w:val="auto"/>
          <w:highlight w:val="none"/>
        </w:rPr>
        <w:fldChar w:fldCharType="end"/>
      </w:r>
    </w:p>
    <w:p w14:paraId="5AD9ACD9">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"_Toc32717" </w:instrText>
      </w:r>
      <w:r>
        <w:rPr>
          <w:color w:val="auto"/>
          <w:highlight w:val="none"/>
        </w:rPr>
        <w:fldChar w:fldCharType="separate"/>
      </w:r>
      <w:r>
        <w:rPr>
          <w:rFonts w:hint="eastAsia" w:ascii="宋体" w:hAnsi="宋体"/>
          <w:color w:val="auto"/>
          <w:szCs w:val="21"/>
          <w:highlight w:val="none"/>
        </w:rPr>
        <w:t>8. 纪律和监督</w:t>
      </w:r>
      <w:r>
        <w:rPr>
          <w:color w:val="auto"/>
          <w:highlight w:val="none"/>
        </w:rPr>
        <w:tab/>
      </w:r>
      <w:r>
        <w:rPr>
          <w:color w:val="auto"/>
          <w:highlight w:val="none"/>
        </w:rPr>
        <w:fldChar w:fldCharType="begin"/>
      </w:r>
      <w:r>
        <w:rPr>
          <w:color w:val="auto"/>
          <w:highlight w:val="none"/>
        </w:rPr>
        <w:instrText xml:space="preserve"> PAGEREF _Toc32717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09B8672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"_Toc330" </w:instrText>
      </w:r>
      <w:r>
        <w:rPr>
          <w:color w:val="auto"/>
          <w:highlight w:val="none"/>
        </w:rPr>
        <w:fldChar w:fldCharType="separate"/>
      </w:r>
      <w:r>
        <w:rPr>
          <w:rFonts w:hint="eastAsia" w:ascii="宋体" w:hAnsi="宋体"/>
          <w:color w:val="auto"/>
          <w:szCs w:val="21"/>
          <w:highlight w:val="none"/>
        </w:rPr>
        <w:t>8.1 对发包人的纪律要求</w:t>
      </w:r>
      <w:r>
        <w:rPr>
          <w:color w:val="auto"/>
          <w:highlight w:val="none"/>
        </w:rPr>
        <w:tab/>
      </w:r>
      <w:r>
        <w:rPr>
          <w:color w:val="auto"/>
          <w:highlight w:val="none"/>
        </w:rPr>
        <w:fldChar w:fldCharType="begin"/>
      </w:r>
      <w:r>
        <w:rPr>
          <w:color w:val="auto"/>
          <w:highlight w:val="none"/>
        </w:rPr>
        <w:instrText xml:space="preserve"> PAGEREF _Toc330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7E848314">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"_Toc5335" </w:instrText>
      </w:r>
      <w:r>
        <w:rPr>
          <w:color w:val="auto"/>
          <w:highlight w:val="none"/>
        </w:rPr>
        <w:fldChar w:fldCharType="separate"/>
      </w:r>
      <w:r>
        <w:rPr>
          <w:rFonts w:hint="eastAsia" w:ascii="宋体" w:hAnsi="宋体"/>
          <w:color w:val="auto"/>
          <w:szCs w:val="21"/>
          <w:highlight w:val="none"/>
        </w:rPr>
        <w:t>8.2 对竞包人的纪律要求</w:t>
      </w:r>
      <w:r>
        <w:rPr>
          <w:color w:val="auto"/>
          <w:highlight w:val="none"/>
        </w:rPr>
        <w:tab/>
      </w:r>
      <w:r>
        <w:rPr>
          <w:color w:val="auto"/>
          <w:highlight w:val="none"/>
        </w:rPr>
        <w:fldChar w:fldCharType="begin"/>
      </w:r>
      <w:r>
        <w:rPr>
          <w:color w:val="auto"/>
          <w:highlight w:val="none"/>
        </w:rPr>
        <w:instrText xml:space="preserve"> PAGEREF _Toc5335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6110230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"_Toc3408" </w:instrText>
      </w:r>
      <w:r>
        <w:rPr>
          <w:color w:val="auto"/>
          <w:highlight w:val="none"/>
        </w:rPr>
        <w:fldChar w:fldCharType="separate"/>
      </w:r>
      <w:r>
        <w:rPr>
          <w:rFonts w:hint="eastAsia" w:ascii="宋体" w:hAnsi="宋体"/>
          <w:color w:val="auto"/>
          <w:szCs w:val="21"/>
          <w:highlight w:val="none"/>
        </w:rPr>
        <w:t>8.3 对评标委员会成员的纪律要求</w:t>
      </w:r>
      <w:r>
        <w:rPr>
          <w:color w:val="auto"/>
          <w:highlight w:val="none"/>
        </w:rPr>
        <w:tab/>
      </w:r>
      <w:r>
        <w:rPr>
          <w:color w:val="auto"/>
          <w:highlight w:val="none"/>
        </w:rPr>
        <w:fldChar w:fldCharType="begin"/>
      </w:r>
      <w:r>
        <w:rPr>
          <w:color w:val="auto"/>
          <w:highlight w:val="none"/>
        </w:rPr>
        <w:instrText xml:space="preserve"> PAGEREF _Toc3408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28E5CDB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"_Toc22770" </w:instrText>
      </w:r>
      <w:r>
        <w:rPr>
          <w:color w:val="auto"/>
          <w:highlight w:val="none"/>
        </w:rPr>
        <w:fldChar w:fldCharType="separate"/>
      </w:r>
      <w:r>
        <w:rPr>
          <w:rFonts w:hint="eastAsia" w:ascii="宋体" w:hAnsi="宋体"/>
          <w:color w:val="auto"/>
          <w:szCs w:val="21"/>
          <w:highlight w:val="none"/>
        </w:rPr>
        <w:t>8.4 对与评标活动有关的工作人员的纪律要求</w:t>
      </w:r>
      <w:r>
        <w:rPr>
          <w:color w:val="auto"/>
          <w:highlight w:val="none"/>
        </w:rPr>
        <w:tab/>
      </w:r>
      <w:r>
        <w:rPr>
          <w:color w:val="auto"/>
          <w:highlight w:val="none"/>
        </w:rPr>
        <w:fldChar w:fldCharType="begin"/>
      </w:r>
      <w:r>
        <w:rPr>
          <w:color w:val="auto"/>
          <w:highlight w:val="none"/>
        </w:rPr>
        <w:instrText xml:space="preserve"> PAGEREF _Toc22770 \h </w:instrText>
      </w:r>
      <w:r>
        <w:rPr>
          <w:color w:val="auto"/>
          <w:highlight w:val="none"/>
        </w:rPr>
        <w:fldChar w:fldCharType="separate"/>
      </w:r>
      <w:r>
        <w:rPr>
          <w:color w:val="auto"/>
          <w:highlight w:val="none"/>
        </w:rPr>
        <w:t>37</w:t>
      </w:r>
      <w:r>
        <w:rPr>
          <w:color w:val="auto"/>
          <w:highlight w:val="none"/>
        </w:rPr>
        <w:fldChar w:fldCharType="end"/>
      </w:r>
      <w:r>
        <w:rPr>
          <w:color w:val="auto"/>
          <w:highlight w:val="none"/>
        </w:rPr>
        <w:fldChar w:fldCharType="end"/>
      </w:r>
    </w:p>
    <w:p w14:paraId="33ED1B6A">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"_Toc11156" </w:instrText>
      </w:r>
      <w:r>
        <w:rPr>
          <w:color w:val="auto"/>
          <w:highlight w:val="none"/>
        </w:rPr>
        <w:fldChar w:fldCharType="separate"/>
      </w:r>
      <w:r>
        <w:rPr>
          <w:rFonts w:hint="eastAsia" w:ascii="宋体" w:hAnsi="宋体"/>
          <w:color w:val="auto"/>
          <w:szCs w:val="21"/>
          <w:highlight w:val="none"/>
        </w:rPr>
        <w:t>8.5 投诉</w:t>
      </w:r>
      <w:r>
        <w:rPr>
          <w:color w:val="auto"/>
          <w:highlight w:val="none"/>
        </w:rPr>
        <w:tab/>
      </w:r>
      <w:r>
        <w:rPr>
          <w:color w:val="auto"/>
          <w:highlight w:val="none"/>
        </w:rPr>
        <w:fldChar w:fldCharType="begin"/>
      </w:r>
      <w:r>
        <w:rPr>
          <w:color w:val="auto"/>
          <w:highlight w:val="none"/>
        </w:rPr>
        <w:instrText xml:space="preserve"> PAGEREF _Toc11156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7ADAA252">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"_Toc21767" </w:instrText>
      </w:r>
      <w:r>
        <w:rPr>
          <w:color w:val="auto"/>
          <w:highlight w:val="none"/>
        </w:rPr>
        <w:fldChar w:fldCharType="separate"/>
      </w:r>
      <w:r>
        <w:rPr>
          <w:rFonts w:hint="eastAsia" w:ascii="宋体" w:hAnsi="宋体"/>
          <w:color w:val="auto"/>
          <w:szCs w:val="21"/>
          <w:highlight w:val="none"/>
        </w:rPr>
        <w:t>9.是否采用电子发包竞包</w:t>
      </w:r>
      <w:r>
        <w:rPr>
          <w:color w:val="auto"/>
          <w:highlight w:val="none"/>
        </w:rPr>
        <w:tab/>
      </w:r>
      <w:r>
        <w:rPr>
          <w:color w:val="auto"/>
          <w:highlight w:val="none"/>
        </w:rPr>
        <w:fldChar w:fldCharType="begin"/>
      </w:r>
      <w:r>
        <w:rPr>
          <w:color w:val="auto"/>
          <w:highlight w:val="none"/>
        </w:rPr>
        <w:instrText xml:space="preserve"> PAGEREF _Toc21767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2BC80A2E">
      <w:pPr>
        <w:pStyle w:val="23"/>
        <w:tabs>
          <w:tab w:val="right" w:leader="dot" w:pos="9189"/>
        </w:tabs>
        <w:spacing w:line="240" w:lineRule="exact"/>
        <w:rPr>
          <w:color w:val="auto"/>
          <w:highlight w:val="none"/>
        </w:rPr>
      </w:pPr>
      <w:r>
        <w:rPr>
          <w:color w:val="auto"/>
          <w:highlight w:val="none"/>
        </w:rPr>
        <w:fldChar w:fldCharType="begin"/>
      </w:r>
      <w:r>
        <w:rPr>
          <w:color w:val="auto"/>
          <w:highlight w:val="none"/>
        </w:rPr>
        <w:instrText xml:space="preserve"> HYPERLINK \l "_Toc28373" </w:instrText>
      </w:r>
      <w:r>
        <w:rPr>
          <w:color w:val="auto"/>
          <w:highlight w:val="none"/>
        </w:rPr>
        <w:fldChar w:fldCharType="separate"/>
      </w:r>
      <w:r>
        <w:rPr>
          <w:rFonts w:hint="eastAsia" w:ascii="宋体" w:hAnsi="宋体"/>
          <w:color w:val="auto"/>
          <w:szCs w:val="21"/>
          <w:highlight w:val="none"/>
        </w:rPr>
        <w:t>10需要补充的其他内容</w:t>
      </w:r>
      <w:r>
        <w:rPr>
          <w:color w:val="auto"/>
          <w:highlight w:val="none"/>
        </w:rPr>
        <w:tab/>
      </w:r>
      <w:r>
        <w:rPr>
          <w:color w:val="auto"/>
          <w:highlight w:val="none"/>
        </w:rPr>
        <w:fldChar w:fldCharType="begin"/>
      </w:r>
      <w:r>
        <w:rPr>
          <w:color w:val="auto"/>
          <w:highlight w:val="none"/>
        </w:rPr>
        <w:instrText xml:space="preserve"> PAGEREF _Toc28373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3CAE11F8">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rFonts w:hint="eastAsia" w:ascii="宋体" w:hAnsi="宋体"/>
          <w:color w:val="auto"/>
          <w:szCs w:val="21"/>
          <w:highlight w:val="none"/>
        </w:rPr>
        <w:t>附件：设计原始资料</w:t>
      </w:r>
      <w:r>
        <w:rPr>
          <w:color w:val="auto"/>
          <w:highlight w:val="none"/>
        </w:rPr>
        <w:tab/>
      </w:r>
      <w:r>
        <w:rPr>
          <w:color w:val="auto"/>
          <w:highlight w:val="none"/>
        </w:rPr>
        <w:fldChar w:fldCharType="begin"/>
      </w:r>
      <w:r>
        <w:rPr>
          <w:color w:val="auto"/>
          <w:highlight w:val="none"/>
        </w:rPr>
        <w:instrText xml:space="preserve"> PAGEREF _Toc12395 \h </w:instrText>
      </w:r>
      <w:r>
        <w:rPr>
          <w:color w:val="auto"/>
          <w:highlight w:val="none"/>
        </w:rPr>
        <w:fldChar w:fldCharType="separate"/>
      </w:r>
      <w:r>
        <w:rPr>
          <w:color w:val="auto"/>
          <w:highlight w:val="none"/>
        </w:rPr>
        <w:t>39</w:t>
      </w:r>
      <w:r>
        <w:rPr>
          <w:color w:val="auto"/>
          <w:highlight w:val="none"/>
        </w:rPr>
        <w:fldChar w:fldCharType="end"/>
      </w:r>
      <w:r>
        <w:rPr>
          <w:color w:val="auto"/>
          <w:highlight w:val="none"/>
        </w:rPr>
        <w:fldChar w:fldCharType="end"/>
      </w:r>
    </w:p>
    <w:p w14:paraId="3AF57C3A">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"_Toc2650" </w:instrText>
      </w:r>
      <w:r>
        <w:rPr>
          <w:color w:val="auto"/>
          <w:highlight w:val="none"/>
        </w:rPr>
        <w:fldChar w:fldCharType="separate"/>
      </w:r>
      <w:r>
        <w:rPr>
          <w:rFonts w:hint="eastAsia" w:ascii="宋体" w:hAnsi="宋体"/>
          <w:color w:val="auto"/>
          <w:szCs w:val="21"/>
          <w:highlight w:val="none"/>
        </w:rPr>
        <w:t>附表一：开标记录表</w:t>
      </w:r>
      <w:r>
        <w:rPr>
          <w:color w:val="auto"/>
          <w:highlight w:val="none"/>
        </w:rPr>
        <w:tab/>
      </w:r>
      <w:r>
        <w:rPr>
          <w:color w:val="auto"/>
          <w:highlight w:val="none"/>
        </w:rPr>
        <w:fldChar w:fldCharType="begin"/>
      </w:r>
      <w:r>
        <w:rPr>
          <w:color w:val="auto"/>
          <w:highlight w:val="none"/>
        </w:rPr>
        <w:instrText xml:space="preserve"> PAGEREF _Toc2650 \h </w:instrText>
      </w:r>
      <w:r>
        <w:rPr>
          <w:color w:val="auto"/>
          <w:highlight w:val="none"/>
        </w:rPr>
        <w:fldChar w:fldCharType="separate"/>
      </w:r>
      <w:r>
        <w:rPr>
          <w:color w:val="auto"/>
          <w:highlight w:val="none"/>
        </w:rPr>
        <w:t>40</w:t>
      </w:r>
      <w:r>
        <w:rPr>
          <w:color w:val="auto"/>
          <w:highlight w:val="none"/>
        </w:rPr>
        <w:fldChar w:fldCharType="end"/>
      </w:r>
      <w:r>
        <w:rPr>
          <w:color w:val="auto"/>
          <w:highlight w:val="none"/>
        </w:rPr>
        <w:fldChar w:fldCharType="end"/>
      </w:r>
    </w:p>
    <w:p w14:paraId="4865F5D5">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"_Toc32103" </w:instrText>
      </w:r>
      <w:r>
        <w:rPr>
          <w:color w:val="auto"/>
          <w:highlight w:val="none"/>
        </w:rPr>
        <w:fldChar w:fldCharType="separate"/>
      </w:r>
      <w:r>
        <w:rPr>
          <w:rFonts w:hint="eastAsia" w:ascii="宋体" w:hAnsi="宋体"/>
          <w:color w:val="auto"/>
          <w:szCs w:val="21"/>
          <w:highlight w:val="none"/>
        </w:rPr>
        <w:t>附表二：问题澄清通知</w:t>
      </w:r>
      <w:r>
        <w:rPr>
          <w:color w:val="auto"/>
          <w:highlight w:val="none"/>
        </w:rPr>
        <w:tab/>
      </w:r>
      <w:r>
        <w:rPr>
          <w:color w:val="auto"/>
          <w:highlight w:val="none"/>
        </w:rPr>
        <w:fldChar w:fldCharType="begin"/>
      </w:r>
      <w:r>
        <w:rPr>
          <w:color w:val="auto"/>
          <w:highlight w:val="none"/>
        </w:rPr>
        <w:instrText xml:space="preserve"> PAGEREF _Toc32103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14:paraId="0AE4B7DA">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"_Toc19173" </w:instrText>
      </w:r>
      <w:r>
        <w:rPr>
          <w:color w:val="auto"/>
          <w:highlight w:val="none"/>
        </w:rPr>
        <w:fldChar w:fldCharType="separate"/>
      </w:r>
      <w:r>
        <w:rPr>
          <w:rFonts w:hint="eastAsia" w:ascii="宋体" w:hAnsi="宋体"/>
          <w:color w:val="auto"/>
          <w:szCs w:val="21"/>
          <w:highlight w:val="none"/>
        </w:rPr>
        <w:t>附表三：问题的澄清</w:t>
      </w:r>
      <w:r>
        <w:rPr>
          <w:color w:val="auto"/>
          <w:highlight w:val="none"/>
        </w:rPr>
        <w:tab/>
      </w:r>
      <w:r>
        <w:rPr>
          <w:color w:val="auto"/>
          <w:highlight w:val="none"/>
        </w:rPr>
        <w:fldChar w:fldCharType="begin"/>
      </w:r>
      <w:r>
        <w:rPr>
          <w:color w:val="auto"/>
          <w:highlight w:val="none"/>
        </w:rPr>
        <w:instrText xml:space="preserve"> PAGEREF _Toc19173 \h </w:instrText>
      </w:r>
      <w:r>
        <w:rPr>
          <w:color w:val="auto"/>
          <w:highlight w:val="none"/>
        </w:rPr>
        <w:fldChar w:fldCharType="separate"/>
      </w:r>
      <w:r>
        <w:rPr>
          <w:color w:val="auto"/>
          <w:highlight w:val="none"/>
        </w:rPr>
        <w:t>43</w:t>
      </w:r>
      <w:r>
        <w:rPr>
          <w:color w:val="auto"/>
          <w:highlight w:val="none"/>
        </w:rPr>
        <w:fldChar w:fldCharType="end"/>
      </w:r>
      <w:r>
        <w:rPr>
          <w:color w:val="auto"/>
          <w:highlight w:val="none"/>
        </w:rPr>
        <w:fldChar w:fldCharType="end"/>
      </w:r>
    </w:p>
    <w:p w14:paraId="51F99F4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"_Toc13031" </w:instrText>
      </w:r>
      <w:r>
        <w:rPr>
          <w:color w:val="auto"/>
          <w:highlight w:val="none"/>
        </w:rPr>
        <w:fldChar w:fldCharType="separate"/>
      </w:r>
      <w:r>
        <w:rPr>
          <w:rFonts w:hint="eastAsia" w:ascii="宋体" w:hAnsi="宋体"/>
          <w:color w:val="auto"/>
          <w:szCs w:val="21"/>
          <w:highlight w:val="none"/>
        </w:rPr>
        <w:t>附表四：中包通知书</w:t>
      </w:r>
      <w:r>
        <w:rPr>
          <w:color w:val="auto"/>
          <w:highlight w:val="none"/>
        </w:rPr>
        <w:tab/>
      </w:r>
      <w:r>
        <w:rPr>
          <w:color w:val="auto"/>
          <w:highlight w:val="none"/>
        </w:rPr>
        <w:fldChar w:fldCharType="begin"/>
      </w:r>
      <w:r>
        <w:rPr>
          <w:color w:val="auto"/>
          <w:highlight w:val="none"/>
        </w:rPr>
        <w:instrText xml:space="preserve"> PAGEREF _Toc13031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14:paraId="436BA54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"_Toc31770" </w:instrText>
      </w:r>
      <w:r>
        <w:rPr>
          <w:color w:val="auto"/>
          <w:highlight w:val="none"/>
        </w:rPr>
        <w:fldChar w:fldCharType="separate"/>
      </w:r>
      <w:r>
        <w:rPr>
          <w:rFonts w:hint="eastAsia" w:ascii="宋体" w:hAnsi="宋体"/>
          <w:color w:val="auto"/>
          <w:szCs w:val="21"/>
          <w:highlight w:val="none"/>
        </w:rPr>
        <w:t>附表五：中包结果通知书</w:t>
      </w:r>
      <w:r>
        <w:rPr>
          <w:color w:val="auto"/>
          <w:highlight w:val="none"/>
        </w:rPr>
        <w:tab/>
      </w:r>
      <w:r>
        <w:rPr>
          <w:color w:val="auto"/>
          <w:highlight w:val="none"/>
        </w:rPr>
        <w:fldChar w:fldCharType="begin"/>
      </w:r>
      <w:r>
        <w:rPr>
          <w:color w:val="auto"/>
          <w:highlight w:val="none"/>
        </w:rPr>
        <w:instrText xml:space="preserve"> PAGEREF _Toc31770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14:paraId="2182F7A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"_Toc1222" </w:instrText>
      </w:r>
      <w:r>
        <w:rPr>
          <w:color w:val="auto"/>
          <w:highlight w:val="none"/>
        </w:rPr>
        <w:fldChar w:fldCharType="separate"/>
      </w:r>
      <w:r>
        <w:rPr>
          <w:rFonts w:hint="eastAsia" w:ascii="宋体" w:hAnsi="宋体"/>
          <w:color w:val="auto"/>
          <w:szCs w:val="21"/>
          <w:highlight w:val="none"/>
        </w:rPr>
        <w:t>附表六：确认通知</w:t>
      </w:r>
      <w:r>
        <w:rPr>
          <w:color w:val="auto"/>
          <w:highlight w:val="none"/>
        </w:rPr>
        <w:tab/>
      </w:r>
      <w:r>
        <w:rPr>
          <w:color w:val="auto"/>
          <w:highlight w:val="none"/>
        </w:rPr>
        <w:fldChar w:fldCharType="begin"/>
      </w:r>
      <w:r>
        <w:rPr>
          <w:color w:val="auto"/>
          <w:highlight w:val="none"/>
        </w:rPr>
        <w:instrText xml:space="preserve"> PAGEREF _Toc1222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7488647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"_Toc17958" </w:instrText>
      </w:r>
      <w:r>
        <w:rPr>
          <w:color w:val="auto"/>
          <w:highlight w:val="none"/>
        </w:rPr>
        <w:fldChar w:fldCharType="separate"/>
      </w:r>
      <w:r>
        <w:rPr>
          <w:rFonts w:hint="eastAsia" w:ascii="宋体" w:hAnsi="宋体"/>
          <w:color w:val="auto"/>
          <w:szCs w:val="36"/>
          <w:highlight w:val="none"/>
        </w:rPr>
        <w:t>第三章 评标办法（综合评估法）</w:t>
      </w:r>
      <w:r>
        <w:rPr>
          <w:color w:val="auto"/>
          <w:highlight w:val="none"/>
        </w:rPr>
        <w:tab/>
      </w:r>
      <w:r>
        <w:rPr>
          <w:color w:val="auto"/>
          <w:highlight w:val="none"/>
        </w:rPr>
        <w:fldChar w:fldCharType="begin"/>
      </w:r>
      <w:r>
        <w:rPr>
          <w:color w:val="auto"/>
          <w:highlight w:val="none"/>
        </w:rPr>
        <w:instrText xml:space="preserve"> PAGEREF _Toc17958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6309FFDB">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"_Toc5966" </w:instrText>
      </w:r>
      <w:r>
        <w:rPr>
          <w:color w:val="auto"/>
          <w:highlight w:val="none"/>
        </w:rPr>
        <w:fldChar w:fldCharType="separate"/>
      </w:r>
      <w:r>
        <w:rPr>
          <w:rFonts w:hint="eastAsia" w:ascii="宋体" w:hAnsi="宋体"/>
          <w:color w:val="auto"/>
          <w:szCs w:val="21"/>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_Toc5966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5BF1CB2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"_Toc11697" </w:instrText>
      </w:r>
      <w:r>
        <w:rPr>
          <w:color w:val="auto"/>
          <w:highlight w:val="none"/>
        </w:rPr>
        <w:fldChar w:fldCharType="separate"/>
      </w:r>
      <w:r>
        <w:rPr>
          <w:rFonts w:hint="eastAsia" w:ascii="黑体" w:hAnsi="黑体"/>
          <w:color w:val="auto"/>
          <w:highlight w:val="none"/>
        </w:rPr>
        <w:t>1.评标方法</w:t>
      </w:r>
      <w:r>
        <w:rPr>
          <w:color w:val="auto"/>
          <w:highlight w:val="none"/>
        </w:rPr>
        <w:tab/>
      </w:r>
      <w:r>
        <w:rPr>
          <w:color w:val="auto"/>
          <w:highlight w:val="none"/>
        </w:rPr>
        <w:fldChar w:fldCharType="begin"/>
      </w:r>
      <w:r>
        <w:rPr>
          <w:color w:val="auto"/>
          <w:highlight w:val="none"/>
        </w:rPr>
        <w:instrText xml:space="preserve"> PAGEREF _Toc11697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0E35F41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"_Toc12261" </w:instrText>
      </w:r>
      <w:r>
        <w:rPr>
          <w:color w:val="auto"/>
          <w:highlight w:val="none"/>
        </w:rPr>
        <w:fldChar w:fldCharType="separate"/>
      </w:r>
      <w:r>
        <w:rPr>
          <w:rFonts w:hint="eastAsia" w:ascii="黑体" w:hAnsi="黑体"/>
          <w:color w:val="auto"/>
          <w:highlight w:val="none"/>
        </w:rPr>
        <w:t>2.评审标准</w:t>
      </w:r>
      <w:r>
        <w:rPr>
          <w:color w:val="auto"/>
          <w:highlight w:val="none"/>
        </w:rPr>
        <w:tab/>
      </w:r>
      <w:r>
        <w:rPr>
          <w:color w:val="auto"/>
          <w:highlight w:val="none"/>
        </w:rPr>
        <w:fldChar w:fldCharType="begin"/>
      </w:r>
      <w:r>
        <w:rPr>
          <w:color w:val="auto"/>
          <w:highlight w:val="none"/>
        </w:rPr>
        <w:instrText xml:space="preserve"> PAGEREF _Toc12261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44134F19">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"_Toc28773" </w:instrText>
      </w:r>
      <w:r>
        <w:rPr>
          <w:color w:val="auto"/>
          <w:highlight w:val="none"/>
        </w:rPr>
        <w:fldChar w:fldCharType="separate"/>
      </w:r>
      <w:r>
        <w:rPr>
          <w:rFonts w:hint="eastAsia" w:ascii="宋体" w:hAnsi="宋体"/>
          <w:bCs/>
          <w:color w:val="auto"/>
          <w:szCs w:val="21"/>
          <w:highlight w:val="none"/>
        </w:rPr>
        <w:t>2.1  初步评审标准</w:t>
      </w:r>
      <w:r>
        <w:rPr>
          <w:color w:val="auto"/>
          <w:highlight w:val="none"/>
        </w:rPr>
        <w:tab/>
      </w:r>
      <w:r>
        <w:rPr>
          <w:color w:val="auto"/>
          <w:highlight w:val="none"/>
        </w:rPr>
        <w:fldChar w:fldCharType="begin"/>
      </w:r>
      <w:r>
        <w:rPr>
          <w:color w:val="auto"/>
          <w:highlight w:val="none"/>
        </w:rPr>
        <w:instrText xml:space="preserve"> PAGEREF _Toc28773 \h </w:instrText>
      </w:r>
      <w:r>
        <w:rPr>
          <w:color w:val="auto"/>
          <w:highlight w:val="none"/>
        </w:rPr>
        <w:fldChar w:fldCharType="separate"/>
      </w:r>
      <w:r>
        <w:rPr>
          <w:color w:val="auto"/>
          <w:highlight w:val="none"/>
        </w:rPr>
        <w:t>58</w:t>
      </w:r>
      <w:r>
        <w:rPr>
          <w:color w:val="auto"/>
          <w:highlight w:val="none"/>
        </w:rPr>
        <w:fldChar w:fldCharType="end"/>
      </w:r>
      <w:r>
        <w:rPr>
          <w:color w:val="auto"/>
          <w:highlight w:val="none"/>
        </w:rPr>
        <w:fldChar w:fldCharType="end"/>
      </w:r>
    </w:p>
    <w:p w14:paraId="727C57C3">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"_Toc21505" </w:instrText>
      </w:r>
      <w:r>
        <w:rPr>
          <w:color w:val="auto"/>
          <w:highlight w:val="none"/>
        </w:rPr>
        <w:fldChar w:fldCharType="separate"/>
      </w:r>
      <w:r>
        <w:rPr>
          <w:rFonts w:hint="eastAsia" w:ascii="宋体" w:hAnsi="宋体"/>
          <w:bCs/>
          <w:color w:val="auto"/>
          <w:szCs w:val="21"/>
          <w:highlight w:val="none"/>
        </w:rPr>
        <w:t>2.2  分值构成与评分标准</w:t>
      </w:r>
      <w:r>
        <w:rPr>
          <w:color w:val="auto"/>
          <w:highlight w:val="none"/>
        </w:rPr>
        <w:tab/>
      </w:r>
      <w:r>
        <w:rPr>
          <w:color w:val="auto"/>
          <w:highlight w:val="none"/>
        </w:rPr>
        <w:fldChar w:fldCharType="begin"/>
      </w:r>
      <w:r>
        <w:rPr>
          <w:color w:val="auto"/>
          <w:highlight w:val="none"/>
        </w:rPr>
        <w:instrText xml:space="preserve"> PAGEREF _Toc21505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753A61A4">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"_Toc2694" </w:instrText>
      </w:r>
      <w:r>
        <w:rPr>
          <w:color w:val="auto"/>
          <w:highlight w:val="none"/>
        </w:rPr>
        <w:fldChar w:fldCharType="separate"/>
      </w:r>
      <w:r>
        <w:rPr>
          <w:rFonts w:hint="eastAsia" w:ascii="黑体" w:hAnsi="黑体"/>
          <w:color w:val="auto"/>
          <w:highlight w:val="none"/>
        </w:rPr>
        <w:t>3.评标程序</w:t>
      </w:r>
      <w:r>
        <w:rPr>
          <w:color w:val="auto"/>
          <w:highlight w:val="none"/>
        </w:rPr>
        <w:tab/>
      </w:r>
      <w:r>
        <w:rPr>
          <w:color w:val="auto"/>
          <w:highlight w:val="none"/>
        </w:rPr>
        <w:fldChar w:fldCharType="begin"/>
      </w:r>
      <w:r>
        <w:rPr>
          <w:color w:val="auto"/>
          <w:highlight w:val="none"/>
        </w:rPr>
        <w:instrText xml:space="preserve"> PAGEREF _Toc2694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70E5054A">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"_Toc4312" </w:instrText>
      </w:r>
      <w:r>
        <w:rPr>
          <w:color w:val="auto"/>
          <w:highlight w:val="none"/>
        </w:rPr>
        <w:fldChar w:fldCharType="separate"/>
      </w:r>
      <w:r>
        <w:rPr>
          <w:rFonts w:hint="eastAsia" w:ascii="宋体" w:hAnsi="宋体"/>
          <w:bCs/>
          <w:color w:val="auto"/>
          <w:szCs w:val="21"/>
          <w:highlight w:val="none"/>
        </w:rPr>
        <w:t>3.1  第一个信封初步评审</w:t>
      </w:r>
      <w:r>
        <w:rPr>
          <w:color w:val="auto"/>
          <w:highlight w:val="none"/>
        </w:rPr>
        <w:tab/>
      </w:r>
      <w:r>
        <w:rPr>
          <w:color w:val="auto"/>
          <w:highlight w:val="none"/>
        </w:rPr>
        <w:fldChar w:fldCharType="begin"/>
      </w:r>
      <w:r>
        <w:rPr>
          <w:color w:val="auto"/>
          <w:highlight w:val="none"/>
        </w:rPr>
        <w:instrText xml:space="preserve"> PAGEREF _Toc4312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36B417CF">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"_Toc22130" </w:instrText>
      </w:r>
      <w:r>
        <w:rPr>
          <w:color w:val="auto"/>
          <w:highlight w:val="none"/>
        </w:rPr>
        <w:fldChar w:fldCharType="separate"/>
      </w:r>
      <w:r>
        <w:rPr>
          <w:rFonts w:hint="eastAsia" w:ascii="宋体" w:hAnsi="宋体"/>
          <w:bCs/>
          <w:color w:val="auto"/>
          <w:szCs w:val="21"/>
          <w:highlight w:val="none"/>
        </w:rPr>
        <w:t>3.2  第一个信封详细评审</w:t>
      </w:r>
      <w:r>
        <w:rPr>
          <w:color w:val="auto"/>
          <w:highlight w:val="none"/>
        </w:rPr>
        <w:tab/>
      </w:r>
      <w:r>
        <w:rPr>
          <w:color w:val="auto"/>
          <w:highlight w:val="none"/>
        </w:rPr>
        <w:fldChar w:fldCharType="begin"/>
      </w:r>
      <w:r>
        <w:rPr>
          <w:color w:val="auto"/>
          <w:highlight w:val="none"/>
        </w:rPr>
        <w:instrText xml:space="preserve"> PAGEREF _Toc22130 \h </w:instrText>
      </w:r>
      <w:r>
        <w:rPr>
          <w:color w:val="auto"/>
          <w:highlight w:val="none"/>
        </w:rPr>
        <w:fldChar w:fldCharType="separate"/>
      </w:r>
      <w:r>
        <w:rPr>
          <w:color w:val="auto"/>
          <w:highlight w:val="none"/>
        </w:rPr>
        <w:t>59</w:t>
      </w:r>
      <w:r>
        <w:rPr>
          <w:color w:val="auto"/>
          <w:highlight w:val="none"/>
        </w:rPr>
        <w:fldChar w:fldCharType="end"/>
      </w:r>
      <w:r>
        <w:rPr>
          <w:color w:val="auto"/>
          <w:highlight w:val="none"/>
        </w:rPr>
        <w:fldChar w:fldCharType="end"/>
      </w:r>
    </w:p>
    <w:p w14:paraId="3513FE11">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"_Toc14691" </w:instrText>
      </w:r>
      <w:r>
        <w:rPr>
          <w:color w:val="auto"/>
          <w:highlight w:val="none"/>
        </w:rPr>
        <w:fldChar w:fldCharType="separate"/>
      </w:r>
      <w:r>
        <w:rPr>
          <w:rFonts w:hint="eastAsia" w:ascii="宋体" w:hAnsi="宋体"/>
          <w:bCs/>
          <w:color w:val="auto"/>
          <w:szCs w:val="21"/>
          <w:highlight w:val="none"/>
        </w:rPr>
        <w:t>3.3  第二个信封开标</w:t>
      </w:r>
      <w:r>
        <w:rPr>
          <w:color w:val="auto"/>
          <w:highlight w:val="none"/>
        </w:rPr>
        <w:tab/>
      </w:r>
      <w:r>
        <w:rPr>
          <w:color w:val="auto"/>
          <w:highlight w:val="none"/>
        </w:rPr>
        <w:fldChar w:fldCharType="begin"/>
      </w:r>
      <w:r>
        <w:rPr>
          <w:color w:val="auto"/>
          <w:highlight w:val="none"/>
        </w:rPr>
        <w:instrText xml:space="preserve"> PAGEREF _Toc14691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15475270">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"_Toc32005" </w:instrText>
      </w:r>
      <w:r>
        <w:rPr>
          <w:color w:val="auto"/>
          <w:highlight w:val="none"/>
        </w:rPr>
        <w:fldChar w:fldCharType="separate"/>
      </w:r>
      <w:r>
        <w:rPr>
          <w:rFonts w:hint="eastAsia" w:ascii="宋体" w:hAnsi="宋体"/>
          <w:bCs/>
          <w:color w:val="auto"/>
          <w:szCs w:val="21"/>
          <w:highlight w:val="none"/>
        </w:rPr>
        <w:t>3.4  第二个信封初步评审</w:t>
      </w:r>
      <w:r>
        <w:rPr>
          <w:color w:val="auto"/>
          <w:highlight w:val="none"/>
        </w:rPr>
        <w:tab/>
      </w:r>
      <w:r>
        <w:rPr>
          <w:color w:val="auto"/>
          <w:highlight w:val="none"/>
        </w:rPr>
        <w:fldChar w:fldCharType="begin"/>
      </w:r>
      <w:r>
        <w:rPr>
          <w:color w:val="auto"/>
          <w:highlight w:val="none"/>
        </w:rPr>
        <w:instrText xml:space="preserve"> PAGEREF _Toc32005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4F266C6A">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"_Toc5551" </w:instrText>
      </w:r>
      <w:r>
        <w:rPr>
          <w:color w:val="auto"/>
          <w:highlight w:val="none"/>
        </w:rPr>
        <w:fldChar w:fldCharType="separate"/>
      </w:r>
      <w:r>
        <w:rPr>
          <w:rFonts w:hint="eastAsia" w:ascii="宋体" w:hAnsi="宋体"/>
          <w:bCs/>
          <w:color w:val="auto"/>
          <w:szCs w:val="21"/>
          <w:highlight w:val="none"/>
        </w:rPr>
        <w:t>3.5  第二个信封详细评审</w:t>
      </w:r>
      <w:r>
        <w:rPr>
          <w:color w:val="auto"/>
          <w:highlight w:val="none"/>
        </w:rPr>
        <w:tab/>
      </w:r>
      <w:r>
        <w:rPr>
          <w:color w:val="auto"/>
          <w:highlight w:val="none"/>
        </w:rPr>
        <w:fldChar w:fldCharType="begin"/>
      </w:r>
      <w:r>
        <w:rPr>
          <w:color w:val="auto"/>
          <w:highlight w:val="none"/>
        </w:rPr>
        <w:instrText xml:space="preserve"> PAGEREF _Toc5551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24D9EA11">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"_Toc26161" </w:instrText>
      </w:r>
      <w:r>
        <w:rPr>
          <w:color w:val="auto"/>
          <w:highlight w:val="none"/>
        </w:rPr>
        <w:fldChar w:fldCharType="separate"/>
      </w:r>
      <w:r>
        <w:rPr>
          <w:rFonts w:hint="eastAsia" w:ascii="宋体" w:hAnsi="宋体"/>
          <w:bCs/>
          <w:color w:val="auto"/>
          <w:szCs w:val="21"/>
          <w:highlight w:val="none"/>
        </w:rPr>
        <w:t>3.6  竞包文件相关信息的核查</w:t>
      </w:r>
      <w:r>
        <w:rPr>
          <w:color w:val="auto"/>
          <w:highlight w:val="none"/>
        </w:rPr>
        <w:tab/>
      </w:r>
      <w:r>
        <w:rPr>
          <w:color w:val="auto"/>
          <w:highlight w:val="none"/>
        </w:rPr>
        <w:fldChar w:fldCharType="begin"/>
      </w:r>
      <w:r>
        <w:rPr>
          <w:color w:val="auto"/>
          <w:highlight w:val="none"/>
        </w:rPr>
        <w:instrText xml:space="preserve"> PAGEREF _Toc26161 \h </w:instrText>
      </w:r>
      <w:r>
        <w:rPr>
          <w:color w:val="auto"/>
          <w:highlight w:val="none"/>
        </w:rPr>
        <w:fldChar w:fldCharType="separate"/>
      </w:r>
      <w:r>
        <w:rPr>
          <w:color w:val="auto"/>
          <w:highlight w:val="none"/>
        </w:rPr>
        <w:t>60</w:t>
      </w:r>
      <w:r>
        <w:rPr>
          <w:color w:val="auto"/>
          <w:highlight w:val="none"/>
        </w:rPr>
        <w:fldChar w:fldCharType="end"/>
      </w:r>
      <w:r>
        <w:rPr>
          <w:color w:val="auto"/>
          <w:highlight w:val="none"/>
        </w:rPr>
        <w:fldChar w:fldCharType="end"/>
      </w:r>
    </w:p>
    <w:p w14:paraId="2BDE9967">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"_Toc5528" </w:instrText>
      </w:r>
      <w:r>
        <w:rPr>
          <w:color w:val="auto"/>
          <w:highlight w:val="none"/>
        </w:rPr>
        <w:fldChar w:fldCharType="separate"/>
      </w:r>
      <w:r>
        <w:rPr>
          <w:rFonts w:hint="eastAsia" w:ascii="宋体" w:hAnsi="宋体"/>
          <w:bCs/>
          <w:color w:val="auto"/>
          <w:szCs w:val="21"/>
          <w:highlight w:val="none"/>
        </w:rPr>
        <w:t>3.7  竞包文件的澄清和说明</w:t>
      </w:r>
      <w:r>
        <w:rPr>
          <w:color w:val="auto"/>
          <w:highlight w:val="none"/>
        </w:rPr>
        <w:tab/>
      </w:r>
      <w:r>
        <w:rPr>
          <w:color w:val="auto"/>
          <w:highlight w:val="none"/>
        </w:rPr>
        <w:fldChar w:fldCharType="begin"/>
      </w:r>
      <w:r>
        <w:rPr>
          <w:color w:val="auto"/>
          <w:highlight w:val="none"/>
        </w:rPr>
        <w:instrText xml:space="preserve"> PAGEREF _Toc5528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0E8453C7">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"_Toc4943" </w:instrText>
      </w:r>
      <w:r>
        <w:rPr>
          <w:color w:val="auto"/>
          <w:highlight w:val="none"/>
        </w:rPr>
        <w:fldChar w:fldCharType="separate"/>
      </w:r>
      <w:r>
        <w:rPr>
          <w:rFonts w:hint="eastAsia" w:ascii="宋体" w:hAnsi="宋体"/>
          <w:bCs/>
          <w:color w:val="auto"/>
          <w:szCs w:val="21"/>
          <w:highlight w:val="none"/>
        </w:rPr>
        <w:t>3.8  不得否决竞包的情形</w:t>
      </w:r>
      <w:r>
        <w:rPr>
          <w:color w:val="auto"/>
          <w:highlight w:val="none"/>
        </w:rPr>
        <w:tab/>
      </w:r>
      <w:r>
        <w:rPr>
          <w:color w:val="auto"/>
          <w:highlight w:val="none"/>
        </w:rPr>
        <w:fldChar w:fldCharType="begin"/>
      </w:r>
      <w:r>
        <w:rPr>
          <w:color w:val="auto"/>
          <w:highlight w:val="none"/>
        </w:rPr>
        <w:instrText xml:space="preserve"> PAGEREF _Toc4943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29B7E0F8">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"_Toc22766" </w:instrText>
      </w:r>
      <w:r>
        <w:rPr>
          <w:color w:val="auto"/>
          <w:highlight w:val="none"/>
        </w:rPr>
        <w:fldChar w:fldCharType="separate"/>
      </w:r>
      <w:r>
        <w:rPr>
          <w:rFonts w:hint="eastAsia" w:ascii="宋体" w:hAnsi="宋体"/>
          <w:bCs/>
          <w:color w:val="auto"/>
          <w:szCs w:val="21"/>
          <w:highlight w:val="none"/>
        </w:rPr>
        <w:t>3.9  评标结果</w:t>
      </w:r>
      <w:r>
        <w:rPr>
          <w:color w:val="auto"/>
          <w:highlight w:val="none"/>
        </w:rPr>
        <w:tab/>
      </w:r>
      <w:r>
        <w:rPr>
          <w:color w:val="auto"/>
          <w:highlight w:val="none"/>
        </w:rPr>
        <w:fldChar w:fldCharType="begin"/>
      </w:r>
      <w:r>
        <w:rPr>
          <w:color w:val="auto"/>
          <w:highlight w:val="none"/>
        </w:rPr>
        <w:instrText xml:space="preserve"> PAGEREF _Toc22766 \h </w:instrText>
      </w:r>
      <w:r>
        <w:rPr>
          <w:color w:val="auto"/>
          <w:highlight w:val="none"/>
        </w:rPr>
        <w:fldChar w:fldCharType="separate"/>
      </w:r>
      <w:r>
        <w:rPr>
          <w:color w:val="auto"/>
          <w:highlight w:val="none"/>
        </w:rPr>
        <w:t>62</w:t>
      </w:r>
      <w:r>
        <w:rPr>
          <w:color w:val="auto"/>
          <w:highlight w:val="none"/>
        </w:rPr>
        <w:fldChar w:fldCharType="end"/>
      </w:r>
      <w:r>
        <w:rPr>
          <w:color w:val="auto"/>
          <w:highlight w:val="none"/>
        </w:rPr>
        <w:fldChar w:fldCharType="end"/>
      </w:r>
    </w:p>
    <w:p w14:paraId="0DE2E97B">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"_Toc17805" </w:instrText>
      </w:r>
      <w:r>
        <w:rPr>
          <w:color w:val="auto"/>
          <w:highlight w:val="none"/>
        </w:rPr>
        <w:fldChar w:fldCharType="separate"/>
      </w:r>
      <w:r>
        <w:rPr>
          <w:rFonts w:hint="eastAsia"/>
          <w:color w:val="auto"/>
          <w:szCs w:val="44"/>
          <w:highlight w:val="none"/>
        </w:rPr>
        <w:t>第四章 合同条款及格式</w:t>
      </w:r>
      <w:r>
        <w:rPr>
          <w:color w:val="auto"/>
          <w:highlight w:val="none"/>
        </w:rPr>
        <w:tab/>
      </w:r>
      <w:r>
        <w:rPr>
          <w:color w:val="auto"/>
          <w:highlight w:val="none"/>
        </w:rPr>
        <w:fldChar w:fldCharType="begin"/>
      </w:r>
      <w:r>
        <w:rPr>
          <w:color w:val="auto"/>
          <w:highlight w:val="none"/>
        </w:rPr>
        <w:instrText xml:space="preserve"> PAGEREF _Toc17805 \h </w:instrText>
      </w:r>
      <w:r>
        <w:rPr>
          <w:color w:val="auto"/>
          <w:highlight w:val="none"/>
        </w:rPr>
        <w:fldChar w:fldCharType="separate"/>
      </w:r>
      <w:r>
        <w:rPr>
          <w:color w:val="auto"/>
          <w:highlight w:val="none"/>
        </w:rPr>
        <w:t>63</w:t>
      </w:r>
      <w:r>
        <w:rPr>
          <w:color w:val="auto"/>
          <w:highlight w:val="none"/>
        </w:rPr>
        <w:fldChar w:fldCharType="end"/>
      </w:r>
      <w:r>
        <w:rPr>
          <w:color w:val="auto"/>
          <w:highlight w:val="none"/>
        </w:rPr>
        <w:fldChar w:fldCharType="end"/>
      </w:r>
    </w:p>
    <w:p w14:paraId="07C73BA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"_Toc23599" </w:instrText>
      </w:r>
      <w:r>
        <w:rPr>
          <w:color w:val="auto"/>
          <w:highlight w:val="none"/>
        </w:rPr>
        <w:fldChar w:fldCharType="separate"/>
      </w:r>
      <w:r>
        <w:rPr>
          <w:rFonts w:hint="eastAsia"/>
          <w:color w:val="auto"/>
          <w:highlight w:val="none"/>
        </w:rPr>
        <w:t>第一节 通用合同条款</w:t>
      </w:r>
      <w:r>
        <w:rPr>
          <w:color w:val="auto"/>
          <w:highlight w:val="none"/>
        </w:rPr>
        <w:tab/>
      </w:r>
      <w:r>
        <w:rPr>
          <w:color w:val="auto"/>
          <w:highlight w:val="none"/>
        </w:rPr>
        <w:fldChar w:fldCharType="begin"/>
      </w:r>
      <w:r>
        <w:rPr>
          <w:color w:val="auto"/>
          <w:highlight w:val="none"/>
        </w:rPr>
        <w:instrText xml:space="preserve"> PAGEREF _Toc23599 \h </w:instrText>
      </w:r>
      <w:r>
        <w:rPr>
          <w:color w:val="auto"/>
          <w:highlight w:val="none"/>
        </w:rPr>
        <w:fldChar w:fldCharType="separate"/>
      </w:r>
      <w:r>
        <w:rPr>
          <w:color w:val="auto"/>
          <w:highlight w:val="none"/>
        </w:rPr>
        <w:t>64</w:t>
      </w:r>
      <w:r>
        <w:rPr>
          <w:color w:val="auto"/>
          <w:highlight w:val="none"/>
        </w:rPr>
        <w:fldChar w:fldCharType="end"/>
      </w:r>
      <w:r>
        <w:rPr>
          <w:color w:val="auto"/>
          <w:highlight w:val="none"/>
        </w:rPr>
        <w:fldChar w:fldCharType="end"/>
      </w:r>
    </w:p>
    <w:p w14:paraId="3DD70DF1">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"_Toc12730" </w:instrText>
      </w:r>
      <w:r>
        <w:rPr>
          <w:color w:val="auto"/>
          <w:highlight w:val="none"/>
        </w:rPr>
        <w:fldChar w:fldCharType="separate"/>
      </w:r>
      <w:r>
        <w:rPr>
          <w:rFonts w:hint="eastAsia" w:ascii="黑体" w:hAnsi="黑体"/>
          <w:color w:val="auto"/>
          <w:szCs w:val="24"/>
          <w:highlight w:val="none"/>
        </w:rPr>
        <w:t>1.一般约定</w:t>
      </w:r>
      <w:r>
        <w:rPr>
          <w:color w:val="auto"/>
          <w:highlight w:val="none"/>
        </w:rPr>
        <w:tab/>
      </w:r>
      <w:r>
        <w:rPr>
          <w:color w:val="auto"/>
          <w:highlight w:val="none"/>
        </w:rPr>
        <w:fldChar w:fldCharType="begin"/>
      </w:r>
      <w:r>
        <w:rPr>
          <w:color w:val="auto"/>
          <w:highlight w:val="none"/>
        </w:rPr>
        <w:instrText xml:space="preserve"> PAGEREF _Toc12730 \h </w:instrText>
      </w:r>
      <w:r>
        <w:rPr>
          <w:color w:val="auto"/>
          <w:highlight w:val="none"/>
        </w:rPr>
        <w:fldChar w:fldCharType="separate"/>
      </w:r>
      <w:r>
        <w:rPr>
          <w:color w:val="auto"/>
          <w:highlight w:val="none"/>
        </w:rPr>
        <w:t>65</w:t>
      </w:r>
      <w:r>
        <w:rPr>
          <w:color w:val="auto"/>
          <w:highlight w:val="none"/>
        </w:rPr>
        <w:fldChar w:fldCharType="end"/>
      </w:r>
      <w:r>
        <w:rPr>
          <w:color w:val="auto"/>
          <w:highlight w:val="none"/>
        </w:rPr>
        <w:fldChar w:fldCharType="end"/>
      </w:r>
    </w:p>
    <w:p w14:paraId="3461BCE8">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"_Toc6129" </w:instrText>
      </w:r>
      <w:r>
        <w:rPr>
          <w:color w:val="auto"/>
          <w:highlight w:val="none"/>
        </w:rPr>
        <w:fldChar w:fldCharType="separate"/>
      </w:r>
      <w:r>
        <w:rPr>
          <w:rFonts w:hint="eastAsia" w:ascii="黑体" w:hAnsi="黑体"/>
          <w:color w:val="auto"/>
          <w:szCs w:val="24"/>
          <w:highlight w:val="none"/>
        </w:rPr>
        <w:t>2.发包人义务</w:t>
      </w:r>
      <w:r>
        <w:rPr>
          <w:color w:val="auto"/>
          <w:highlight w:val="none"/>
        </w:rPr>
        <w:tab/>
      </w:r>
      <w:r>
        <w:rPr>
          <w:color w:val="auto"/>
          <w:highlight w:val="none"/>
        </w:rPr>
        <w:fldChar w:fldCharType="begin"/>
      </w:r>
      <w:r>
        <w:rPr>
          <w:color w:val="auto"/>
          <w:highlight w:val="none"/>
        </w:rPr>
        <w:instrText xml:space="preserve"> PAGEREF _Toc6129 \h </w:instrText>
      </w:r>
      <w:r>
        <w:rPr>
          <w:color w:val="auto"/>
          <w:highlight w:val="none"/>
        </w:rPr>
        <w:fldChar w:fldCharType="separate"/>
      </w:r>
      <w:r>
        <w:rPr>
          <w:color w:val="auto"/>
          <w:highlight w:val="none"/>
        </w:rPr>
        <w:t>69</w:t>
      </w:r>
      <w:r>
        <w:rPr>
          <w:color w:val="auto"/>
          <w:highlight w:val="none"/>
        </w:rPr>
        <w:fldChar w:fldCharType="end"/>
      </w:r>
      <w:r>
        <w:rPr>
          <w:color w:val="auto"/>
          <w:highlight w:val="none"/>
        </w:rPr>
        <w:fldChar w:fldCharType="end"/>
      </w:r>
    </w:p>
    <w:p w14:paraId="070F6C65">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"_Toc22328" </w:instrText>
      </w:r>
      <w:r>
        <w:rPr>
          <w:color w:val="auto"/>
          <w:highlight w:val="none"/>
        </w:rPr>
        <w:fldChar w:fldCharType="separate"/>
      </w:r>
      <w:r>
        <w:rPr>
          <w:rFonts w:hint="eastAsia" w:ascii="黑体" w:hAnsi="黑体"/>
          <w:color w:val="auto"/>
          <w:szCs w:val="24"/>
          <w:highlight w:val="none"/>
        </w:rPr>
        <w:t>3.发包人管理</w:t>
      </w:r>
      <w:r>
        <w:rPr>
          <w:color w:val="auto"/>
          <w:highlight w:val="none"/>
        </w:rPr>
        <w:tab/>
      </w:r>
      <w:r>
        <w:rPr>
          <w:color w:val="auto"/>
          <w:highlight w:val="none"/>
        </w:rPr>
        <w:fldChar w:fldCharType="begin"/>
      </w:r>
      <w:r>
        <w:rPr>
          <w:color w:val="auto"/>
          <w:highlight w:val="none"/>
        </w:rPr>
        <w:instrText xml:space="preserve"> PAGEREF _Toc22328 \h </w:instrText>
      </w:r>
      <w:r>
        <w:rPr>
          <w:color w:val="auto"/>
          <w:highlight w:val="none"/>
        </w:rPr>
        <w:fldChar w:fldCharType="separate"/>
      </w:r>
      <w:r>
        <w:rPr>
          <w:color w:val="auto"/>
          <w:highlight w:val="none"/>
        </w:rPr>
        <w:t>70</w:t>
      </w:r>
      <w:r>
        <w:rPr>
          <w:color w:val="auto"/>
          <w:highlight w:val="none"/>
        </w:rPr>
        <w:fldChar w:fldCharType="end"/>
      </w:r>
      <w:r>
        <w:rPr>
          <w:color w:val="auto"/>
          <w:highlight w:val="none"/>
        </w:rPr>
        <w:fldChar w:fldCharType="end"/>
      </w:r>
    </w:p>
    <w:p w14:paraId="49AD5EF6">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"_Toc4177" </w:instrText>
      </w:r>
      <w:r>
        <w:rPr>
          <w:color w:val="auto"/>
          <w:highlight w:val="none"/>
        </w:rPr>
        <w:fldChar w:fldCharType="separate"/>
      </w:r>
      <w:r>
        <w:rPr>
          <w:rFonts w:hint="eastAsia" w:ascii="黑体" w:hAnsi="黑体"/>
          <w:color w:val="auto"/>
          <w:szCs w:val="24"/>
          <w:highlight w:val="none"/>
        </w:rPr>
        <w:t>4.设计人义务</w:t>
      </w:r>
      <w:r>
        <w:rPr>
          <w:color w:val="auto"/>
          <w:highlight w:val="none"/>
        </w:rPr>
        <w:tab/>
      </w:r>
      <w:r>
        <w:rPr>
          <w:color w:val="auto"/>
          <w:highlight w:val="none"/>
        </w:rPr>
        <w:fldChar w:fldCharType="begin"/>
      </w:r>
      <w:r>
        <w:rPr>
          <w:color w:val="auto"/>
          <w:highlight w:val="none"/>
        </w:rPr>
        <w:instrText xml:space="preserve"> PAGEREF _Toc4177 \h </w:instrText>
      </w:r>
      <w:r>
        <w:rPr>
          <w:color w:val="auto"/>
          <w:highlight w:val="none"/>
        </w:rPr>
        <w:fldChar w:fldCharType="separate"/>
      </w:r>
      <w:r>
        <w:rPr>
          <w:color w:val="auto"/>
          <w:highlight w:val="none"/>
        </w:rPr>
        <w:t>71</w:t>
      </w:r>
      <w:r>
        <w:rPr>
          <w:color w:val="auto"/>
          <w:highlight w:val="none"/>
        </w:rPr>
        <w:fldChar w:fldCharType="end"/>
      </w:r>
      <w:r>
        <w:rPr>
          <w:color w:val="auto"/>
          <w:highlight w:val="none"/>
        </w:rPr>
        <w:fldChar w:fldCharType="end"/>
      </w:r>
    </w:p>
    <w:p w14:paraId="28CAB6D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"_Toc23085" </w:instrText>
      </w:r>
      <w:r>
        <w:rPr>
          <w:color w:val="auto"/>
          <w:highlight w:val="none"/>
        </w:rPr>
        <w:fldChar w:fldCharType="separate"/>
      </w:r>
      <w:r>
        <w:rPr>
          <w:rFonts w:hint="eastAsia" w:ascii="黑体" w:hAnsi="黑体"/>
          <w:color w:val="auto"/>
          <w:szCs w:val="24"/>
          <w:highlight w:val="none"/>
        </w:rPr>
        <w:t>5.设计要求</w:t>
      </w:r>
      <w:r>
        <w:rPr>
          <w:color w:val="auto"/>
          <w:highlight w:val="none"/>
        </w:rPr>
        <w:tab/>
      </w:r>
      <w:r>
        <w:rPr>
          <w:color w:val="auto"/>
          <w:highlight w:val="none"/>
        </w:rPr>
        <w:fldChar w:fldCharType="begin"/>
      </w:r>
      <w:r>
        <w:rPr>
          <w:color w:val="auto"/>
          <w:highlight w:val="none"/>
        </w:rPr>
        <w:instrText xml:space="preserve"> PAGEREF _Toc23085 \h </w:instrText>
      </w:r>
      <w:r>
        <w:rPr>
          <w:color w:val="auto"/>
          <w:highlight w:val="none"/>
        </w:rPr>
        <w:fldChar w:fldCharType="separate"/>
      </w:r>
      <w:r>
        <w:rPr>
          <w:color w:val="auto"/>
          <w:highlight w:val="none"/>
        </w:rPr>
        <w:t>75</w:t>
      </w:r>
      <w:r>
        <w:rPr>
          <w:color w:val="auto"/>
          <w:highlight w:val="none"/>
        </w:rPr>
        <w:fldChar w:fldCharType="end"/>
      </w:r>
      <w:r>
        <w:rPr>
          <w:color w:val="auto"/>
          <w:highlight w:val="none"/>
        </w:rPr>
        <w:fldChar w:fldCharType="end"/>
      </w:r>
    </w:p>
    <w:p w14:paraId="5A320C8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"_Toc20306" </w:instrText>
      </w:r>
      <w:r>
        <w:rPr>
          <w:color w:val="auto"/>
          <w:highlight w:val="none"/>
        </w:rPr>
        <w:fldChar w:fldCharType="separate"/>
      </w:r>
      <w:r>
        <w:rPr>
          <w:rFonts w:hint="eastAsia" w:ascii="黑体" w:hAnsi="黑体"/>
          <w:color w:val="auto"/>
          <w:szCs w:val="24"/>
          <w:highlight w:val="none"/>
        </w:rPr>
        <w:t>6.开始设计</w:t>
      </w:r>
      <w:r>
        <w:rPr>
          <w:rFonts w:ascii="黑体" w:hAnsi="黑体"/>
          <w:color w:val="auto"/>
          <w:szCs w:val="24"/>
          <w:highlight w:val="none"/>
        </w:rPr>
        <w:t>和完成</w:t>
      </w:r>
      <w:r>
        <w:rPr>
          <w:rFonts w:hint="eastAsia" w:ascii="黑体" w:hAnsi="黑体"/>
          <w:color w:val="auto"/>
          <w:szCs w:val="24"/>
          <w:highlight w:val="none"/>
        </w:rPr>
        <w:t>设计</w:t>
      </w:r>
      <w:r>
        <w:rPr>
          <w:color w:val="auto"/>
          <w:highlight w:val="none"/>
        </w:rPr>
        <w:tab/>
      </w:r>
      <w:r>
        <w:rPr>
          <w:color w:val="auto"/>
          <w:highlight w:val="none"/>
        </w:rPr>
        <w:fldChar w:fldCharType="begin"/>
      </w:r>
      <w:r>
        <w:rPr>
          <w:color w:val="auto"/>
          <w:highlight w:val="none"/>
        </w:rPr>
        <w:instrText xml:space="preserve"> PAGEREF _Toc20306 \h </w:instrText>
      </w:r>
      <w:r>
        <w:rPr>
          <w:color w:val="auto"/>
          <w:highlight w:val="none"/>
        </w:rPr>
        <w:fldChar w:fldCharType="separate"/>
      </w:r>
      <w:r>
        <w:rPr>
          <w:color w:val="auto"/>
          <w:highlight w:val="none"/>
        </w:rPr>
        <w:t>81</w:t>
      </w:r>
      <w:r>
        <w:rPr>
          <w:color w:val="auto"/>
          <w:highlight w:val="none"/>
        </w:rPr>
        <w:fldChar w:fldCharType="end"/>
      </w:r>
      <w:r>
        <w:rPr>
          <w:color w:val="auto"/>
          <w:highlight w:val="none"/>
        </w:rPr>
        <w:fldChar w:fldCharType="end"/>
      </w:r>
    </w:p>
    <w:p w14:paraId="0DE9C78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"_Toc8481" </w:instrText>
      </w:r>
      <w:r>
        <w:rPr>
          <w:color w:val="auto"/>
          <w:highlight w:val="none"/>
        </w:rPr>
        <w:fldChar w:fldCharType="separate"/>
      </w:r>
      <w:r>
        <w:rPr>
          <w:rFonts w:hint="eastAsia" w:ascii="黑体" w:hAnsi="黑体"/>
          <w:color w:val="auto"/>
          <w:szCs w:val="24"/>
          <w:highlight w:val="none"/>
        </w:rPr>
        <w:t>7.</w:t>
      </w:r>
      <w:r>
        <w:rPr>
          <w:rFonts w:ascii="黑体" w:hAnsi="黑体"/>
          <w:color w:val="auto"/>
          <w:szCs w:val="24"/>
          <w:highlight w:val="none"/>
        </w:rPr>
        <w:t>暂停</w:t>
      </w:r>
      <w:r>
        <w:rPr>
          <w:rFonts w:hint="eastAsia" w:ascii="黑体" w:hAnsi="黑体"/>
          <w:color w:val="auto"/>
          <w:szCs w:val="24"/>
          <w:highlight w:val="none"/>
        </w:rPr>
        <w:t>设计</w:t>
      </w:r>
      <w:r>
        <w:rPr>
          <w:color w:val="auto"/>
          <w:highlight w:val="none"/>
        </w:rPr>
        <w:tab/>
      </w:r>
      <w:r>
        <w:rPr>
          <w:color w:val="auto"/>
          <w:highlight w:val="none"/>
        </w:rPr>
        <w:fldChar w:fldCharType="begin"/>
      </w:r>
      <w:r>
        <w:rPr>
          <w:color w:val="auto"/>
          <w:highlight w:val="none"/>
        </w:rPr>
        <w:instrText xml:space="preserve"> PAGEREF _Toc8481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775D11F2">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"_Toc23470" </w:instrText>
      </w:r>
      <w:r>
        <w:rPr>
          <w:color w:val="auto"/>
          <w:highlight w:val="none"/>
        </w:rPr>
        <w:fldChar w:fldCharType="separate"/>
      </w:r>
      <w:r>
        <w:rPr>
          <w:rFonts w:hint="eastAsia" w:ascii="黑体" w:hAnsi="黑体"/>
          <w:color w:val="auto"/>
          <w:szCs w:val="24"/>
          <w:highlight w:val="none"/>
        </w:rPr>
        <w:t>8.设计</w:t>
      </w:r>
      <w:r>
        <w:rPr>
          <w:rFonts w:ascii="黑体" w:hAnsi="黑体"/>
          <w:color w:val="auto"/>
          <w:szCs w:val="24"/>
          <w:highlight w:val="none"/>
        </w:rPr>
        <w:t>文件</w:t>
      </w:r>
      <w:r>
        <w:rPr>
          <w:color w:val="auto"/>
          <w:highlight w:val="none"/>
        </w:rPr>
        <w:tab/>
      </w:r>
      <w:r>
        <w:rPr>
          <w:color w:val="auto"/>
          <w:highlight w:val="none"/>
        </w:rPr>
        <w:fldChar w:fldCharType="begin"/>
      </w:r>
      <w:r>
        <w:rPr>
          <w:color w:val="auto"/>
          <w:highlight w:val="none"/>
        </w:rPr>
        <w:instrText xml:space="preserve"> PAGEREF _Toc23470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5C3E8B35">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"_Toc4364" </w:instrText>
      </w:r>
      <w:r>
        <w:rPr>
          <w:color w:val="auto"/>
          <w:highlight w:val="none"/>
        </w:rPr>
        <w:fldChar w:fldCharType="separate"/>
      </w:r>
      <w:r>
        <w:rPr>
          <w:rFonts w:hint="eastAsia" w:ascii="黑体" w:hAnsi="黑体"/>
          <w:color w:val="auto"/>
          <w:szCs w:val="24"/>
          <w:highlight w:val="none"/>
        </w:rPr>
        <w:t>9.设计</w:t>
      </w:r>
      <w:r>
        <w:rPr>
          <w:rFonts w:ascii="黑体" w:hAnsi="黑体"/>
          <w:color w:val="auto"/>
          <w:szCs w:val="24"/>
          <w:highlight w:val="none"/>
        </w:rPr>
        <w:t>责任与保险</w:t>
      </w:r>
      <w:r>
        <w:rPr>
          <w:color w:val="auto"/>
          <w:highlight w:val="none"/>
        </w:rPr>
        <w:tab/>
      </w:r>
      <w:r>
        <w:rPr>
          <w:color w:val="auto"/>
          <w:highlight w:val="none"/>
        </w:rPr>
        <w:fldChar w:fldCharType="begin"/>
      </w:r>
      <w:r>
        <w:rPr>
          <w:color w:val="auto"/>
          <w:highlight w:val="none"/>
        </w:rPr>
        <w:instrText xml:space="preserve"> PAGEREF _Toc4364 \h </w:instrText>
      </w:r>
      <w:r>
        <w:rPr>
          <w:color w:val="auto"/>
          <w:highlight w:val="none"/>
        </w:rPr>
        <w:fldChar w:fldCharType="separate"/>
      </w:r>
      <w:r>
        <w:rPr>
          <w:color w:val="auto"/>
          <w:highlight w:val="none"/>
        </w:rPr>
        <w:t>84</w:t>
      </w:r>
      <w:r>
        <w:rPr>
          <w:color w:val="auto"/>
          <w:highlight w:val="none"/>
        </w:rPr>
        <w:fldChar w:fldCharType="end"/>
      </w:r>
      <w:r>
        <w:rPr>
          <w:color w:val="auto"/>
          <w:highlight w:val="none"/>
        </w:rPr>
        <w:fldChar w:fldCharType="end"/>
      </w:r>
    </w:p>
    <w:p w14:paraId="7C4441F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"_Toc8975" </w:instrText>
      </w:r>
      <w:r>
        <w:rPr>
          <w:color w:val="auto"/>
          <w:highlight w:val="none"/>
        </w:rPr>
        <w:fldChar w:fldCharType="separate"/>
      </w:r>
      <w:r>
        <w:rPr>
          <w:rFonts w:hint="eastAsia" w:ascii="黑体" w:hAnsi="黑体"/>
          <w:color w:val="auto"/>
          <w:szCs w:val="24"/>
          <w:highlight w:val="none"/>
        </w:rPr>
        <w:t>10.发包</w:t>
      </w:r>
      <w:r>
        <w:rPr>
          <w:rFonts w:ascii="黑体" w:hAnsi="黑体"/>
          <w:color w:val="auto"/>
          <w:szCs w:val="24"/>
          <w:highlight w:val="none"/>
        </w:rPr>
        <w:t>和施工期间配合</w:t>
      </w:r>
      <w:r>
        <w:rPr>
          <w:color w:val="auto"/>
          <w:highlight w:val="none"/>
        </w:rPr>
        <w:tab/>
      </w:r>
      <w:r>
        <w:rPr>
          <w:color w:val="auto"/>
          <w:highlight w:val="none"/>
        </w:rPr>
        <w:fldChar w:fldCharType="begin"/>
      </w:r>
      <w:r>
        <w:rPr>
          <w:color w:val="auto"/>
          <w:highlight w:val="none"/>
        </w:rPr>
        <w:instrText xml:space="preserve"> PAGEREF _Toc8975 \h </w:instrText>
      </w:r>
      <w:r>
        <w:rPr>
          <w:color w:val="auto"/>
          <w:highlight w:val="none"/>
        </w:rPr>
        <w:fldChar w:fldCharType="separate"/>
      </w:r>
      <w:r>
        <w:rPr>
          <w:color w:val="auto"/>
          <w:highlight w:val="none"/>
        </w:rPr>
        <w:t>86</w:t>
      </w:r>
      <w:r>
        <w:rPr>
          <w:color w:val="auto"/>
          <w:highlight w:val="none"/>
        </w:rPr>
        <w:fldChar w:fldCharType="end"/>
      </w:r>
      <w:r>
        <w:rPr>
          <w:color w:val="auto"/>
          <w:highlight w:val="none"/>
        </w:rPr>
        <w:fldChar w:fldCharType="end"/>
      </w:r>
    </w:p>
    <w:p w14:paraId="6B6696A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"_Toc29473" </w:instrText>
      </w:r>
      <w:r>
        <w:rPr>
          <w:color w:val="auto"/>
          <w:highlight w:val="none"/>
        </w:rPr>
        <w:fldChar w:fldCharType="separate"/>
      </w:r>
      <w:r>
        <w:rPr>
          <w:rFonts w:hint="eastAsia" w:ascii="黑体" w:hAnsi="黑体"/>
          <w:color w:val="auto"/>
          <w:szCs w:val="24"/>
          <w:highlight w:val="none"/>
        </w:rPr>
        <w:t>11.</w:t>
      </w:r>
      <w:r>
        <w:rPr>
          <w:rFonts w:ascii="黑体" w:hAnsi="黑体"/>
          <w:color w:val="auto"/>
          <w:szCs w:val="24"/>
          <w:highlight w:val="none"/>
        </w:rPr>
        <w:t>合同变更</w:t>
      </w:r>
      <w:r>
        <w:rPr>
          <w:color w:val="auto"/>
          <w:highlight w:val="none"/>
        </w:rPr>
        <w:tab/>
      </w:r>
      <w:r>
        <w:rPr>
          <w:color w:val="auto"/>
          <w:highlight w:val="none"/>
        </w:rPr>
        <w:fldChar w:fldCharType="begin"/>
      </w:r>
      <w:r>
        <w:rPr>
          <w:color w:val="auto"/>
          <w:highlight w:val="none"/>
        </w:rPr>
        <w:instrText xml:space="preserve"> PAGEREF _Toc29473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6ED488C3">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"_Toc23371" </w:instrText>
      </w:r>
      <w:r>
        <w:rPr>
          <w:color w:val="auto"/>
          <w:highlight w:val="none"/>
        </w:rPr>
        <w:fldChar w:fldCharType="separate"/>
      </w:r>
      <w:r>
        <w:rPr>
          <w:rFonts w:hint="eastAsia" w:ascii="黑体" w:hAnsi="黑体"/>
          <w:color w:val="auto"/>
          <w:szCs w:val="24"/>
          <w:highlight w:val="none"/>
        </w:rPr>
        <w:t>12.</w:t>
      </w:r>
      <w:r>
        <w:rPr>
          <w:rFonts w:ascii="黑体" w:hAnsi="黑体"/>
          <w:color w:val="auto"/>
          <w:szCs w:val="24"/>
          <w:highlight w:val="none"/>
        </w:rPr>
        <w:t>合同价格与支付</w:t>
      </w:r>
      <w:r>
        <w:rPr>
          <w:color w:val="auto"/>
          <w:highlight w:val="none"/>
        </w:rPr>
        <w:tab/>
      </w:r>
      <w:r>
        <w:rPr>
          <w:color w:val="auto"/>
          <w:highlight w:val="none"/>
        </w:rPr>
        <w:fldChar w:fldCharType="begin"/>
      </w:r>
      <w:r>
        <w:rPr>
          <w:color w:val="auto"/>
          <w:highlight w:val="none"/>
        </w:rPr>
        <w:instrText xml:space="preserve"> PAGEREF _Toc23371 \h </w:instrText>
      </w:r>
      <w:r>
        <w:rPr>
          <w:color w:val="auto"/>
          <w:highlight w:val="none"/>
        </w:rPr>
        <w:fldChar w:fldCharType="separate"/>
      </w:r>
      <w:r>
        <w:rPr>
          <w:color w:val="auto"/>
          <w:highlight w:val="none"/>
        </w:rPr>
        <w:t>87</w:t>
      </w:r>
      <w:r>
        <w:rPr>
          <w:color w:val="auto"/>
          <w:highlight w:val="none"/>
        </w:rPr>
        <w:fldChar w:fldCharType="end"/>
      </w:r>
      <w:r>
        <w:rPr>
          <w:color w:val="auto"/>
          <w:highlight w:val="none"/>
        </w:rPr>
        <w:fldChar w:fldCharType="end"/>
      </w:r>
    </w:p>
    <w:p w14:paraId="2F55065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"_Toc6559" </w:instrText>
      </w:r>
      <w:r>
        <w:rPr>
          <w:color w:val="auto"/>
          <w:highlight w:val="none"/>
        </w:rPr>
        <w:fldChar w:fldCharType="separate"/>
      </w:r>
      <w:r>
        <w:rPr>
          <w:rFonts w:hint="eastAsia" w:ascii="黑体" w:hAnsi="黑体"/>
          <w:color w:val="auto"/>
          <w:szCs w:val="24"/>
          <w:highlight w:val="none"/>
        </w:rPr>
        <w:t>13.</w:t>
      </w:r>
      <w:r>
        <w:rPr>
          <w:rFonts w:ascii="黑体" w:hAnsi="黑体"/>
          <w:color w:val="auto"/>
          <w:szCs w:val="24"/>
          <w:highlight w:val="none"/>
        </w:rPr>
        <w:t>不可抗力</w:t>
      </w:r>
      <w:r>
        <w:rPr>
          <w:color w:val="auto"/>
          <w:highlight w:val="none"/>
        </w:rPr>
        <w:tab/>
      </w:r>
      <w:r>
        <w:rPr>
          <w:color w:val="auto"/>
          <w:highlight w:val="none"/>
        </w:rPr>
        <w:fldChar w:fldCharType="begin"/>
      </w:r>
      <w:r>
        <w:rPr>
          <w:color w:val="auto"/>
          <w:highlight w:val="none"/>
        </w:rPr>
        <w:instrText xml:space="preserve"> PAGEREF _Toc6559 \h </w:instrText>
      </w:r>
      <w:r>
        <w:rPr>
          <w:color w:val="auto"/>
          <w:highlight w:val="none"/>
        </w:rPr>
        <w:fldChar w:fldCharType="separate"/>
      </w:r>
      <w:r>
        <w:rPr>
          <w:color w:val="auto"/>
          <w:highlight w:val="none"/>
        </w:rPr>
        <w:t>89</w:t>
      </w:r>
      <w:r>
        <w:rPr>
          <w:color w:val="auto"/>
          <w:highlight w:val="none"/>
        </w:rPr>
        <w:fldChar w:fldCharType="end"/>
      </w:r>
      <w:r>
        <w:rPr>
          <w:color w:val="auto"/>
          <w:highlight w:val="none"/>
        </w:rPr>
        <w:fldChar w:fldCharType="end"/>
      </w:r>
    </w:p>
    <w:p w14:paraId="5BAEEEE5">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"_Toc14940" </w:instrText>
      </w:r>
      <w:r>
        <w:rPr>
          <w:color w:val="auto"/>
          <w:highlight w:val="none"/>
        </w:rPr>
        <w:fldChar w:fldCharType="separate"/>
      </w:r>
      <w:r>
        <w:rPr>
          <w:rFonts w:hint="eastAsia" w:ascii="黑体" w:hAnsi="黑体"/>
          <w:color w:val="auto"/>
          <w:szCs w:val="24"/>
          <w:highlight w:val="none"/>
        </w:rPr>
        <w:t>14.</w:t>
      </w:r>
      <w:r>
        <w:rPr>
          <w:rFonts w:ascii="黑体" w:hAnsi="黑体"/>
          <w:color w:val="auto"/>
          <w:szCs w:val="24"/>
          <w:highlight w:val="none"/>
        </w:rPr>
        <w:t>违约</w:t>
      </w:r>
      <w:r>
        <w:rPr>
          <w:color w:val="auto"/>
          <w:highlight w:val="none"/>
        </w:rPr>
        <w:tab/>
      </w:r>
      <w:r>
        <w:rPr>
          <w:color w:val="auto"/>
          <w:highlight w:val="none"/>
        </w:rPr>
        <w:fldChar w:fldCharType="begin"/>
      </w:r>
      <w:r>
        <w:rPr>
          <w:color w:val="auto"/>
          <w:highlight w:val="none"/>
        </w:rPr>
        <w:instrText xml:space="preserve"> PAGEREF _Toc14940 \h </w:instrText>
      </w:r>
      <w:r>
        <w:rPr>
          <w:color w:val="auto"/>
          <w:highlight w:val="none"/>
        </w:rPr>
        <w:fldChar w:fldCharType="separate"/>
      </w:r>
      <w:r>
        <w:rPr>
          <w:color w:val="auto"/>
          <w:highlight w:val="none"/>
        </w:rPr>
        <w:t>90</w:t>
      </w:r>
      <w:r>
        <w:rPr>
          <w:color w:val="auto"/>
          <w:highlight w:val="none"/>
        </w:rPr>
        <w:fldChar w:fldCharType="end"/>
      </w:r>
      <w:r>
        <w:rPr>
          <w:color w:val="auto"/>
          <w:highlight w:val="none"/>
        </w:rPr>
        <w:fldChar w:fldCharType="end"/>
      </w:r>
    </w:p>
    <w:p w14:paraId="4462130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"_Toc17513" </w:instrText>
      </w:r>
      <w:r>
        <w:rPr>
          <w:color w:val="auto"/>
          <w:highlight w:val="none"/>
        </w:rPr>
        <w:fldChar w:fldCharType="separate"/>
      </w:r>
      <w:r>
        <w:rPr>
          <w:rFonts w:hint="eastAsia" w:ascii="黑体" w:hAnsi="黑体"/>
          <w:color w:val="auto"/>
          <w:szCs w:val="24"/>
          <w:highlight w:val="none"/>
        </w:rPr>
        <w:t>15.</w:t>
      </w:r>
      <w:r>
        <w:rPr>
          <w:rFonts w:ascii="黑体" w:hAnsi="黑体"/>
          <w:color w:val="auto"/>
          <w:szCs w:val="24"/>
          <w:highlight w:val="none"/>
        </w:rPr>
        <w:t>争议的解决</w:t>
      </w:r>
      <w:r>
        <w:rPr>
          <w:color w:val="auto"/>
          <w:highlight w:val="none"/>
        </w:rPr>
        <w:tab/>
      </w:r>
      <w:r>
        <w:rPr>
          <w:color w:val="auto"/>
          <w:highlight w:val="none"/>
        </w:rPr>
        <w:fldChar w:fldCharType="begin"/>
      </w:r>
      <w:r>
        <w:rPr>
          <w:color w:val="auto"/>
          <w:highlight w:val="none"/>
        </w:rPr>
        <w:instrText xml:space="preserve"> PAGEREF _Toc17513 \h </w:instrText>
      </w:r>
      <w:r>
        <w:rPr>
          <w:color w:val="auto"/>
          <w:highlight w:val="none"/>
        </w:rPr>
        <w:fldChar w:fldCharType="separate"/>
      </w:r>
      <w:r>
        <w:rPr>
          <w:color w:val="auto"/>
          <w:highlight w:val="none"/>
        </w:rPr>
        <w:t>91</w:t>
      </w:r>
      <w:r>
        <w:rPr>
          <w:color w:val="auto"/>
          <w:highlight w:val="none"/>
        </w:rPr>
        <w:fldChar w:fldCharType="end"/>
      </w:r>
      <w:r>
        <w:rPr>
          <w:color w:val="auto"/>
          <w:highlight w:val="none"/>
        </w:rPr>
        <w:fldChar w:fldCharType="end"/>
      </w:r>
    </w:p>
    <w:p w14:paraId="56F79D31">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"_Toc8995" </w:instrText>
      </w:r>
      <w:r>
        <w:rPr>
          <w:color w:val="auto"/>
          <w:highlight w:val="none"/>
        </w:rPr>
        <w:fldChar w:fldCharType="separate"/>
      </w:r>
      <w:r>
        <w:rPr>
          <w:rFonts w:hint="eastAsia"/>
          <w:color w:val="auto"/>
          <w:highlight w:val="none"/>
        </w:rPr>
        <w:t>第二节 专用合同条款</w:t>
      </w:r>
      <w:r>
        <w:rPr>
          <w:color w:val="auto"/>
          <w:highlight w:val="none"/>
        </w:rPr>
        <w:tab/>
      </w:r>
      <w:r>
        <w:rPr>
          <w:color w:val="auto"/>
          <w:highlight w:val="none"/>
        </w:rPr>
        <w:fldChar w:fldCharType="begin"/>
      </w:r>
      <w:r>
        <w:rPr>
          <w:color w:val="auto"/>
          <w:highlight w:val="none"/>
        </w:rPr>
        <w:instrText xml:space="preserve"> PAGEREF _Toc8995 \h </w:instrText>
      </w:r>
      <w:r>
        <w:rPr>
          <w:color w:val="auto"/>
          <w:highlight w:val="none"/>
        </w:rPr>
        <w:fldChar w:fldCharType="separate"/>
      </w:r>
      <w:r>
        <w:rPr>
          <w:color w:val="auto"/>
          <w:highlight w:val="none"/>
        </w:rPr>
        <w:t>92</w:t>
      </w:r>
      <w:r>
        <w:rPr>
          <w:color w:val="auto"/>
          <w:highlight w:val="none"/>
        </w:rPr>
        <w:fldChar w:fldCharType="end"/>
      </w:r>
      <w:r>
        <w:rPr>
          <w:color w:val="auto"/>
          <w:highlight w:val="none"/>
        </w:rPr>
        <w:fldChar w:fldCharType="end"/>
      </w:r>
    </w:p>
    <w:p w14:paraId="1641781C">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"_Toc2880" </w:instrText>
      </w:r>
      <w:r>
        <w:rPr>
          <w:color w:val="auto"/>
          <w:highlight w:val="none"/>
        </w:rPr>
        <w:fldChar w:fldCharType="separate"/>
      </w:r>
      <w:r>
        <w:rPr>
          <w:rFonts w:hint="eastAsia" w:ascii="黑体" w:hAnsi="黑体"/>
          <w:color w:val="auto"/>
          <w:szCs w:val="24"/>
          <w:highlight w:val="none"/>
        </w:rPr>
        <w:t>1.一般约定</w:t>
      </w:r>
      <w:r>
        <w:rPr>
          <w:color w:val="auto"/>
          <w:highlight w:val="none"/>
        </w:rPr>
        <w:tab/>
      </w:r>
      <w:r>
        <w:rPr>
          <w:color w:val="auto"/>
          <w:highlight w:val="none"/>
        </w:rPr>
        <w:fldChar w:fldCharType="begin"/>
      </w:r>
      <w:r>
        <w:rPr>
          <w:color w:val="auto"/>
          <w:highlight w:val="none"/>
        </w:rPr>
        <w:instrText xml:space="preserve"> PAGEREF _Toc2880 \h </w:instrText>
      </w:r>
      <w:r>
        <w:rPr>
          <w:color w:val="auto"/>
          <w:highlight w:val="none"/>
        </w:rPr>
        <w:fldChar w:fldCharType="separate"/>
      </w:r>
      <w:r>
        <w:rPr>
          <w:color w:val="auto"/>
          <w:highlight w:val="none"/>
        </w:rPr>
        <w:t>93</w:t>
      </w:r>
      <w:r>
        <w:rPr>
          <w:color w:val="auto"/>
          <w:highlight w:val="none"/>
        </w:rPr>
        <w:fldChar w:fldCharType="end"/>
      </w:r>
      <w:r>
        <w:rPr>
          <w:color w:val="auto"/>
          <w:highlight w:val="none"/>
        </w:rPr>
        <w:fldChar w:fldCharType="end"/>
      </w:r>
    </w:p>
    <w:p w14:paraId="64506F2F">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"_Toc5434" </w:instrText>
      </w:r>
      <w:r>
        <w:rPr>
          <w:color w:val="auto"/>
          <w:highlight w:val="none"/>
        </w:rPr>
        <w:fldChar w:fldCharType="separate"/>
      </w:r>
      <w:r>
        <w:rPr>
          <w:rFonts w:hint="eastAsia" w:ascii="黑体" w:hAnsi="黑体"/>
          <w:color w:val="auto"/>
          <w:szCs w:val="24"/>
          <w:highlight w:val="none"/>
        </w:rPr>
        <w:t>2.发包人义务</w:t>
      </w:r>
      <w:r>
        <w:rPr>
          <w:color w:val="auto"/>
          <w:highlight w:val="none"/>
        </w:rPr>
        <w:tab/>
      </w:r>
      <w:r>
        <w:rPr>
          <w:color w:val="auto"/>
          <w:highlight w:val="none"/>
        </w:rPr>
        <w:fldChar w:fldCharType="begin"/>
      </w:r>
      <w:r>
        <w:rPr>
          <w:color w:val="auto"/>
          <w:highlight w:val="none"/>
        </w:rPr>
        <w:instrText xml:space="preserve"> PAGEREF _Toc5434 \h </w:instrText>
      </w:r>
      <w:r>
        <w:rPr>
          <w:color w:val="auto"/>
          <w:highlight w:val="none"/>
        </w:rPr>
        <w:fldChar w:fldCharType="separate"/>
      </w:r>
      <w:r>
        <w:rPr>
          <w:color w:val="auto"/>
          <w:highlight w:val="none"/>
        </w:rPr>
        <w:t>93</w:t>
      </w:r>
      <w:r>
        <w:rPr>
          <w:color w:val="auto"/>
          <w:highlight w:val="none"/>
        </w:rPr>
        <w:fldChar w:fldCharType="end"/>
      </w:r>
      <w:r>
        <w:rPr>
          <w:color w:val="auto"/>
          <w:highlight w:val="none"/>
        </w:rPr>
        <w:fldChar w:fldCharType="end"/>
      </w:r>
    </w:p>
    <w:p w14:paraId="1D66770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"_Toc24673" </w:instrText>
      </w:r>
      <w:r>
        <w:rPr>
          <w:color w:val="auto"/>
          <w:highlight w:val="none"/>
        </w:rPr>
        <w:fldChar w:fldCharType="separate"/>
      </w:r>
      <w:r>
        <w:rPr>
          <w:rFonts w:hint="eastAsia" w:ascii="黑体" w:hAnsi="黑体"/>
          <w:color w:val="auto"/>
          <w:szCs w:val="24"/>
          <w:highlight w:val="none"/>
        </w:rPr>
        <w:t>3.发包人管理</w:t>
      </w:r>
      <w:r>
        <w:rPr>
          <w:color w:val="auto"/>
          <w:highlight w:val="none"/>
        </w:rPr>
        <w:tab/>
      </w:r>
      <w:r>
        <w:rPr>
          <w:color w:val="auto"/>
          <w:highlight w:val="none"/>
        </w:rPr>
        <w:fldChar w:fldCharType="begin"/>
      </w:r>
      <w:r>
        <w:rPr>
          <w:color w:val="auto"/>
          <w:highlight w:val="none"/>
        </w:rPr>
        <w:instrText xml:space="preserve"> PAGEREF _Toc24673 \h </w:instrText>
      </w:r>
      <w:r>
        <w:rPr>
          <w:color w:val="auto"/>
          <w:highlight w:val="none"/>
        </w:rPr>
        <w:fldChar w:fldCharType="separate"/>
      </w:r>
      <w:r>
        <w:rPr>
          <w:color w:val="auto"/>
          <w:highlight w:val="none"/>
        </w:rPr>
        <w:t>94</w:t>
      </w:r>
      <w:r>
        <w:rPr>
          <w:color w:val="auto"/>
          <w:highlight w:val="none"/>
        </w:rPr>
        <w:fldChar w:fldCharType="end"/>
      </w:r>
      <w:r>
        <w:rPr>
          <w:color w:val="auto"/>
          <w:highlight w:val="none"/>
        </w:rPr>
        <w:fldChar w:fldCharType="end"/>
      </w:r>
    </w:p>
    <w:p w14:paraId="46F1C54C">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"_Toc15040" </w:instrText>
      </w:r>
      <w:r>
        <w:rPr>
          <w:color w:val="auto"/>
          <w:highlight w:val="none"/>
        </w:rPr>
        <w:fldChar w:fldCharType="separate"/>
      </w:r>
      <w:r>
        <w:rPr>
          <w:rFonts w:hint="eastAsia" w:ascii="黑体" w:hAnsi="黑体"/>
          <w:color w:val="auto"/>
          <w:szCs w:val="24"/>
          <w:highlight w:val="none"/>
        </w:rPr>
        <w:t>4.设计人义务</w:t>
      </w:r>
      <w:r>
        <w:rPr>
          <w:color w:val="auto"/>
          <w:highlight w:val="none"/>
        </w:rPr>
        <w:tab/>
      </w:r>
      <w:r>
        <w:rPr>
          <w:color w:val="auto"/>
          <w:highlight w:val="none"/>
        </w:rPr>
        <w:fldChar w:fldCharType="begin"/>
      </w:r>
      <w:r>
        <w:rPr>
          <w:color w:val="auto"/>
          <w:highlight w:val="none"/>
        </w:rPr>
        <w:instrText xml:space="preserve"> PAGEREF _Toc15040 \h </w:instrText>
      </w:r>
      <w:r>
        <w:rPr>
          <w:color w:val="auto"/>
          <w:highlight w:val="none"/>
        </w:rPr>
        <w:fldChar w:fldCharType="separate"/>
      </w:r>
      <w:r>
        <w:rPr>
          <w:color w:val="auto"/>
          <w:highlight w:val="none"/>
        </w:rPr>
        <w:t>94</w:t>
      </w:r>
      <w:r>
        <w:rPr>
          <w:color w:val="auto"/>
          <w:highlight w:val="none"/>
        </w:rPr>
        <w:fldChar w:fldCharType="end"/>
      </w:r>
      <w:r>
        <w:rPr>
          <w:color w:val="auto"/>
          <w:highlight w:val="none"/>
        </w:rPr>
        <w:fldChar w:fldCharType="end"/>
      </w:r>
    </w:p>
    <w:p w14:paraId="2A5468B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"_Toc24651" </w:instrText>
      </w:r>
      <w:r>
        <w:rPr>
          <w:color w:val="auto"/>
          <w:highlight w:val="none"/>
        </w:rPr>
        <w:fldChar w:fldCharType="separate"/>
      </w:r>
      <w:r>
        <w:rPr>
          <w:rFonts w:hint="eastAsia" w:ascii="黑体" w:hAnsi="黑体"/>
          <w:color w:val="auto"/>
          <w:szCs w:val="24"/>
          <w:highlight w:val="none"/>
        </w:rPr>
        <w:t>5.设计要求</w:t>
      </w:r>
      <w:r>
        <w:rPr>
          <w:color w:val="auto"/>
          <w:highlight w:val="none"/>
        </w:rPr>
        <w:tab/>
      </w:r>
      <w:r>
        <w:rPr>
          <w:color w:val="auto"/>
          <w:highlight w:val="none"/>
        </w:rPr>
        <w:fldChar w:fldCharType="begin"/>
      </w:r>
      <w:r>
        <w:rPr>
          <w:color w:val="auto"/>
          <w:highlight w:val="none"/>
        </w:rPr>
        <w:instrText xml:space="preserve"> PAGEREF _Toc24651 \h </w:instrText>
      </w:r>
      <w:r>
        <w:rPr>
          <w:color w:val="auto"/>
          <w:highlight w:val="none"/>
        </w:rPr>
        <w:fldChar w:fldCharType="separate"/>
      </w:r>
      <w:r>
        <w:rPr>
          <w:color w:val="auto"/>
          <w:highlight w:val="none"/>
        </w:rPr>
        <w:t>99</w:t>
      </w:r>
      <w:r>
        <w:rPr>
          <w:color w:val="auto"/>
          <w:highlight w:val="none"/>
        </w:rPr>
        <w:fldChar w:fldCharType="end"/>
      </w:r>
      <w:r>
        <w:rPr>
          <w:color w:val="auto"/>
          <w:highlight w:val="none"/>
        </w:rPr>
        <w:fldChar w:fldCharType="end"/>
      </w:r>
    </w:p>
    <w:p w14:paraId="4FE6056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"_Toc26405" </w:instrText>
      </w:r>
      <w:r>
        <w:rPr>
          <w:color w:val="auto"/>
          <w:highlight w:val="none"/>
        </w:rPr>
        <w:fldChar w:fldCharType="separate"/>
      </w:r>
      <w:r>
        <w:rPr>
          <w:rFonts w:hint="eastAsia" w:ascii="黑体" w:hAnsi="黑体"/>
          <w:color w:val="auto"/>
          <w:szCs w:val="24"/>
          <w:highlight w:val="none"/>
        </w:rPr>
        <w:t>6.开始设计</w:t>
      </w:r>
      <w:r>
        <w:rPr>
          <w:rFonts w:ascii="黑体" w:hAnsi="黑体"/>
          <w:color w:val="auto"/>
          <w:szCs w:val="24"/>
          <w:highlight w:val="none"/>
        </w:rPr>
        <w:t>和完成</w:t>
      </w:r>
      <w:r>
        <w:rPr>
          <w:rFonts w:hint="eastAsia" w:ascii="黑体" w:hAnsi="黑体"/>
          <w:color w:val="auto"/>
          <w:szCs w:val="24"/>
          <w:highlight w:val="none"/>
        </w:rPr>
        <w:t>设计</w:t>
      </w:r>
      <w:r>
        <w:rPr>
          <w:color w:val="auto"/>
          <w:highlight w:val="none"/>
        </w:rPr>
        <w:tab/>
      </w:r>
      <w:r>
        <w:rPr>
          <w:color w:val="auto"/>
          <w:highlight w:val="none"/>
        </w:rPr>
        <w:fldChar w:fldCharType="begin"/>
      </w:r>
      <w:r>
        <w:rPr>
          <w:color w:val="auto"/>
          <w:highlight w:val="none"/>
        </w:rPr>
        <w:instrText xml:space="preserve"> PAGEREF _Toc26405 \h </w:instrText>
      </w:r>
      <w:r>
        <w:rPr>
          <w:color w:val="auto"/>
          <w:highlight w:val="none"/>
        </w:rPr>
        <w:fldChar w:fldCharType="separate"/>
      </w:r>
      <w:r>
        <w:rPr>
          <w:color w:val="auto"/>
          <w:highlight w:val="none"/>
        </w:rPr>
        <w:t>105</w:t>
      </w:r>
      <w:r>
        <w:rPr>
          <w:color w:val="auto"/>
          <w:highlight w:val="none"/>
        </w:rPr>
        <w:fldChar w:fldCharType="end"/>
      </w:r>
      <w:r>
        <w:rPr>
          <w:color w:val="auto"/>
          <w:highlight w:val="none"/>
        </w:rPr>
        <w:fldChar w:fldCharType="end"/>
      </w:r>
    </w:p>
    <w:p w14:paraId="2619697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"_Toc27603" </w:instrText>
      </w:r>
      <w:r>
        <w:rPr>
          <w:color w:val="auto"/>
          <w:highlight w:val="none"/>
        </w:rPr>
        <w:fldChar w:fldCharType="separate"/>
      </w:r>
      <w:r>
        <w:rPr>
          <w:rFonts w:hint="eastAsia" w:ascii="黑体" w:hAnsi="黑体"/>
          <w:color w:val="auto"/>
          <w:szCs w:val="24"/>
          <w:highlight w:val="none"/>
        </w:rPr>
        <w:t>8.设计</w:t>
      </w:r>
      <w:r>
        <w:rPr>
          <w:rFonts w:ascii="黑体" w:hAnsi="黑体"/>
          <w:color w:val="auto"/>
          <w:szCs w:val="24"/>
          <w:highlight w:val="none"/>
        </w:rPr>
        <w:t>文件</w:t>
      </w:r>
      <w:r>
        <w:rPr>
          <w:color w:val="auto"/>
          <w:highlight w:val="none"/>
        </w:rPr>
        <w:tab/>
      </w:r>
      <w:r>
        <w:rPr>
          <w:color w:val="auto"/>
          <w:highlight w:val="none"/>
        </w:rPr>
        <w:fldChar w:fldCharType="begin"/>
      </w:r>
      <w:r>
        <w:rPr>
          <w:color w:val="auto"/>
          <w:highlight w:val="none"/>
        </w:rPr>
        <w:instrText xml:space="preserve"> PAGEREF _Toc27603 \h </w:instrText>
      </w:r>
      <w:r>
        <w:rPr>
          <w:color w:val="auto"/>
          <w:highlight w:val="none"/>
        </w:rPr>
        <w:fldChar w:fldCharType="separate"/>
      </w:r>
      <w:r>
        <w:rPr>
          <w:color w:val="auto"/>
          <w:highlight w:val="none"/>
        </w:rPr>
        <w:t>107</w:t>
      </w:r>
      <w:r>
        <w:rPr>
          <w:color w:val="auto"/>
          <w:highlight w:val="none"/>
        </w:rPr>
        <w:fldChar w:fldCharType="end"/>
      </w:r>
      <w:r>
        <w:rPr>
          <w:color w:val="auto"/>
          <w:highlight w:val="none"/>
        </w:rPr>
        <w:fldChar w:fldCharType="end"/>
      </w:r>
    </w:p>
    <w:p w14:paraId="639BDF8A">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"_Toc21254" </w:instrText>
      </w:r>
      <w:r>
        <w:rPr>
          <w:color w:val="auto"/>
          <w:highlight w:val="none"/>
        </w:rPr>
        <w:fldChar w:fldCharType="separate"/>
      </w:r>
      <w:r>
        <w:rPr>
          <w:rFonts w:hint="eastAsia" w:ascii="黑体" w:hAnsi="黑体"/>
          <w:color w:val="auto"/>
          <w:szCs w:val="24"/>
          <w:highlight w:val="none"/>
        </w:rPr>
        <w:t>10.发包</w:t>
      </w:r>
      <w:r>
        <w:rPr>
          <w:rFonts w:ascii="黑体" w:hAnsi="黑体"/>
          <w:color w:val="auto"/>
          <w:szCs w:val="24"/>
          <w:highlight w:val="none"/>
        </w:rPr>
        <w:t>和施工期间配合</w:t>
      </w:r>
      <w:r>
        <w:rPr>
          <w:color w:val="auto"/>
          <w:highlight w:val="none"/>
        </w:rPr>
        <w:tab/>
      </w:r>
      <w:r>
        <w:rPr>
          <w:color w:val="auto"/>
          <w:highlight w:val="none"/>
        </w:rPr>
        <w:fldChar w:fldCharType="begin"/>
      </w:r>
      <w:r>
        <w:rPr>
          <w:color w:val="auto"/>
          <w:highlight w:val="none"/>
        </w:rPr>
        <w:instrText xml:space="preserve"> PAGEREF _Toc21254 \h </w:instrText>
      </w:r>
      <w:r>
        <w:rPr>
          <w:color w:val="auto"/>
          <w:highlight w:val="none"/>
        </w:rPr>
        <w:fldChar w:fldCharType="separate"/>
      </w:r>
      <w:r>
        <w:rPr>
          <w:color w:val="auto"/>
          <w:highlight w:val="none"/>
        </w:rPr>
        <w:t>107</w:t>
      </w:r>
      <w:r>
        <w:rPr>
          <w:color w:val="auto"/>
          <w:highlight w:val="none"/>
        </w:rPr>
        <w:fldChar w:fldCharType="end"/>
      </w:r>
      <w:r>
        <w:rPr>
          <w:color w:val="auto"/>
          <w:highlight w:val="none"/>
        </w:rPr>
        <w:fldChar w:fldCharType="end"/>
      </w:r>
    </w:p>
    <w:p w14:paraId="6928F4A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"_Toc15077" </w:instrText>
      </w:r>
      <w:r>
        <w:rPr>
          <w:color w:val="auto"/>
          <w:highlight w:val="none"/>
        </w:rPr>
        <w:fldChar w:fldCharType="separate"/>
      </w:r>
      <w:r>
        <w:rPr>
          <w:rFonts w:hint="eastAsia" w:ascii="黑体" w:hAnsi="黑体"/>
          <w:color w:val="auto"/>
          <w:szCs w:val="24"/>
          <w:highlight w:val="none"/>
        </w:rPr>
        <w:t>11.</w:t>
      </w:r>
      <w:r>
        <w:rPr>
          <w:rFonts w:ascii="黑体" w:hAnsi="黑体"/>
          <w:color w:val="auto"/>
          <w:szCs w:val="24"/>
          <w:highlight w:val="none"/>
        </w:rPr>
        <w:t>合同变更</w:t>
      </w:r>
      <w:r>
        <w:rPr>
          <w:color w:val="auto"/>
          <w:highlight w:val="none"/>
        </w:rPr>
        <w:tab/>
      </w:r>
      <w:r>
        <w:rPr>
          <w:color w:val="auto"/>
          <w:highlight w:val="none"/>
        </w:rPr>
        <w:fldChar w:fldCharType="begin"/>
      </w:r>
      <w:r>
        <w:rPr>
          <w:color w:val="auto"/>
          <w:highlight w:val="none"/>
        </w:rPr>
        <w:instrText xml:space="preserve"> PAGEREF _Toc15077 \h </w:instrText>
      </w:r>
      <w:r>
        <w:rPr>
          <w:color w:val="auto"/>
          <w:highlight w:val="none"/>
        </w:rPr>
        <w:fldChar w:fldCharType="separate"/>
      </w:r>
      <w:r>
        <w:rPr>
          <w:color w:val="auto"/>
          <w:highlight w:val="none"/>
        </w:rPr>
        <w:t>108</w:t>
      </w:r>
      <w:r>
        <w:rPr>
          <w:color w:val="auto"/>
          <w:highlight w:val="none"/>
        </w:rPr>
        <w:fldChar w:fldCharType="end"/>
      </w:r>
      <w:r>
        <w:rPr>
          <w:color w:val="auto"/>
          <w:highlight w:val="none"/>
        </w:rPr>
        <w:fldChar w:fldCharType="end"/>
      </w:r>
    </w:p>
    <w:p w14:paraId="33DAD963">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"_Toc29523" </w:instrText>
      </w:r>
      <w:r>
        <w:rPr>
          <w:color w:val="auto"/>
          <w:highlight w:val="none"/>
        </w:rPr>
        <w:fldChar w:fldCharType="separate"/>
      </w:r>
      <w:r>
        <w:rPr>
          <w:rFonts w:hint="eastAsia" w:ascii="黑体" w:hAnsi="黑体"/>
          <w:color w:val="auto"/>
          <w:szCs w:val="24"/>
          <w:highlight w:val="none"/>
        </w:rPr>
        <w:t>12.</w:t>
      </w:r>
      <w:r>
        <w:rPr>
          <w:rFonts w:ascii="黑体" w:hAnsi="黑体"/>
          <w:color w:val="auto"/>
          <w:szCs w:val="24"/>
          <w:highlight w:val="none"/>
        </w:rPr>
        <w:t>合同价格与支付</w:t>
      </w:r>
      <w:r>
        <w:rPr>
          <w:color w:val="auto"/>
          <w:highlight w:val="none"/>
        </w:rPr>
        <w:tab/>
      </w:r>
      <w:r>
        <w:rPr>
          <w:color w:val="auto"/>
          <w:highlight w:val="none"/>
        </w:rPr>
        <w:fldChar w:fldCharType="begin"/>
      </w:r>
      <w:r>
        <w:rPr>
          <w:color w:val="auto"/>
          <w:highlight w:val="none"/>
        </w:rPr>
        <w:instrText xml:space="preserve"> PAGEREF _Toc29523 \h </w:instrText>
      </w:r>
      <w:r>
        <w:rPr>
          <w:color w:val="auto"/>
          <w:highlight w:val="none"/>
        </w:rPr>
        <w:fldChar w:fldCharType="separate"/>
      </w:r>
      <w:r>
        <w:rPr>
          <w:color w:val="auto"/>
          <w:highlight w:val="none"/>
        </w:rPr>
        <w:t>108</w:t>
      </w:r>
      <w:r>
        <w:rPr>
          <w:color w:val="auto"/>
          <w:highlight w:val="none"/>
        </w:rPr>
        <w:fldChar w:fldCharType="end"/>
      </w:r>
      <w:r>
        <w:rPr>
          <w:color w:val="auto"/>
          <w:highlight w:val="none"/>
        </w:rPr>
        <w:fldChar w:fldCharType="end"/>
      </w:r>
    </w:p>
    <w:p w14:paraId="0C5F057B">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"_Toc24732" </w:instrText>
      </w:r>
      <w:r>
        <w:rPr>
          <w:color w:val="auto"/>
          <w:highlight w:val="none"/>
        </w:rPr>
        <w:fldChar w:fldCharType="separate"/>
      </w:r>
      <w:r>
        <w:rPr>
          <w:rFonts w:hint="eastAsia" w:ascii="黑体" w:hAnsi="黑体"/>
          <w:color w:val="auto"/>
          <w:szCs w:val="24"/>
          <w:highlight w:val="none"/>
        </w:rPr>
        <w:t>14.</w:t>
      </w:r>
      <w:r>
        <w:rPr>
          <w:rFonts w:ascii="黑体" w:hAnsi="黑体"/>
          <w:color w:val="auto"/>
          <w:szCs w:val="24"/>
          <w:highlight w:val="none"/>
        </w:rPr>
        <w:t>违约</w:t>
      </w:r>
      <w:r>
        <w:rPr>
          <w:color w:val="auto"/>
          <w:highlight w:val="none"/>
        </w:rPr>
        <w:tab/>
      </w:r>
      <w:r>
        <w:rPr>
          <w:color w:val="auto"/>
          <w:highlight w:val="none"/>
        </w:rPr>
        <w:fldChar w:fldCharType="begin"/>
      </w:r>
      <w:r>
        <w:rPr>
          <w:color w:val="auto"/>
          <w:highlight w:val="none"/>
        </w:rPr>
        <w:instrText xml:space="preserve"> PAGEREF _Toc24732 \h </w:instrText>
      </w:r>
      <w:r>
        <w:rPr>
          <w:color w:val="auto"/>
          <w:highlight w:val="none"/>
        </w:rPr>
        <w:fldChar w:fldCharType="separate"/>
      </w:r>
      <w:r>
        <w:rPr>
          <w:color w:val="auto"/>
          <w:highlight w:val="none"/>
        </w:rPr>
        <w:t>110</w:t>
      </w:r>
      <w:r>
        <w:rPr>
          <w:color w:val="auto"/>
          <w:highlight w:val="none"/>
        </w:rPr>
        <w:fldChar w:fldCharType="end"/>
      </w:r>
      <w:r>
        <w:rPr>
          <w:color w:val="auto"/>
          <w:highlight w:val="none"/>
        </w:rPr>
        <w:fldChar w:fldCharType="end"/>
      </w:r>
    </w:p>
    <w:p w14:paraId="77D90A6B">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"_Toc24825" </w:instrText>
      </w:r>
      <w:r>
        <w:rPr>
          <w:color w:val="auto"/>
          <w:highlight w:val="none"/>
        </w:rPr>
        <w:fldChar w:fldCharType="separate"/>
      </w:r>
      <w:r>
        <w:rPr>
          <w:rFonts w:hint="eastAsia" w:ascii="黑体" w:hAnsi="黑体"/>
          <w:color w:val="auto"/>
          <w:szCs w:val="24"/>
          <w:highlight w:val="none"/>
        </w:rPr>
        <w:t>15.</w:t>
      </w:r>
      <w:r>
        <w:rPr>
          <w:rFonts w:ascii="黑体" w:hAnsi="黑体"/>
          <w:color w:val="auto"/>
          <w:szCs w:val="24"/>
          <w:highlight w:val="none"/>
        </w:rPr>
        <w:t>争议的解决</w:t>
      </w:r>
      <w:r>
        <w:rPr>
          <w:color w:val="auto"/>
          <w:highlight w:val="none"/>
        </w:rPr>
        <w:tab/>
      </w:r>
      <w:r>
        <w:rPr>
          <w:color w:val="auto"/>
          <w:highlight w:val="none"/>
        </w:rPr>
        <w:fldChar w:fldCharType="begin"/>
      </w:r>
      <w:r>
        <w:rPr>
          <w:color w:val="auto"/>
          <w:highlight w:val="none"/>
        </w:rPr>
        <w:instrText xml:space="preserve"> PAGEREF _Toc24825 \h </w:instrText>
      </w:r>
      <w:r>
        <w:rPr>
          <w:color w:val="auto"/>
          <w:highlight w:val="none"/>
        </w:rPr>
        <w:fldChar w:fldCharType="separate"/>
      </w:r>
      <w:r>
        <w:rPr>
          <w:color w:val="auto"/>
          <w:highlight w:val="none"/>
        </w:rPr>
        <w:t>112</w:t>
      </w:r>
      <w:r>
        <w:rPr>
          <w:color w:val="auto"/>
          <w:highlight w:val="none"/>
        </w:rPr>
        <w:fldChar w:fldCharType="end"/>
      </w:r>
      <w:r>
        <w:rPr>
          <w:color w:val="auto"/>
          <w:highlight w:val="none"/>
        </w:rPr>
        <w:fldChar w:fldCharType="end"/>
      </w:r>
    </w:p>
    <w:p w14:paraId="39CC183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"_Toc9061" </w:instrText>
      </w:r>
      <w:r>
        <w:rPr>
          <w:color w:val="auto"/>
          <w:highlight w:val="none"/>
        </w:rPr>
        <w:fldChar w:fldCharType="separate"/>
      </w:r>
      <w:r>
        <w:rPr>
          <w:rFonts w:hint="eastAsia" w:ascii="黑体" w:hAnsi="黑体"/>
          <w:color w:val="auto"/>
          <w:szCs w:val="24"/>
          <w:highlight w:val="none"/>
        </w:rPr>
        <w:t>16.其它</w:t>
      </w:r>
      <w:r>
        <w:rPr>
          <w:color w:val="auto"/>
          <w:highlight w:val="none"/>
        </w:rPr>
        <w:tab/>
      </w:r>
      <w:r>
        <w:rPr>
          <w:color w:val="auto"/>
          <w:highlight w:val="none"/>
        </w:rPr>
        <w:fldChar w:fldCharType="begin"/>
      </w:r>
      <w:r>
        <w:rPr>
          <w:color w:val="auto"/>
          <w:highlight w:val="none"/>
        </w:rPr>
        <w:instrText xml:space="preserve"> PAGEREF _Toc9061 \h </w:instrText>
      </w:r>
      <w:r>
        <w:rPr>
          <w:color w:val="auto"/>
          <w:highlight w:val="none"/>
        </w:rPr>
        <w:fldChar w:fldCharType="separate"/>
      </w:r>
      <w:r>
        <w:rPr>
          <w:color w:val="auto"/>
          <w:highlight w:val="none"/>
        </w:rPr>
        <w:t>112</w:t>
      </w:r>
      <w:r>
        <w:rPr>
          <w:color w:val="auto"/>
          <w:highlight w:val="none"/>
        </w:rPr>
        <w:fldChar w:fldCharType="end"/>
      </w:r>
      <w:r>
        <w:rPr>
          <w:color w:val="auto"/>
          <w:highlight w:val="none"/>
        </w:rPr>
        <w:fldChar w:fldCharType="end"/>
      </w:r>
    </w:p>
    <w:p w14:paraId="202DBA8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"_Toc32006" </w:instrText>
      </w:r>
      <w:r>
        <w:rPr>
          <w:color w:val="auto"/>
          <w:highlight w:val="none"/>
        </w:rPr>
        <w:fldChar w:fldCharType="separate"/>
      </w:r>
      <w:r>
        <w:rPr>
          <w:rFonts w:hint="eastAsia"/>
          <w:color w:val="auto"/>
          <w:highlight w:val="none"/>
        </w:rPr>
        <w:t>第三节 合同附件格式</w:t>
      </w:r>
      <w:r>
        <w:rPr>
          <w:color w:val="auto"/>
          <w:highlight w:val="none"/>
        </w:rPr>
        <w:tab/>
      </w:r>
      <w:r>
        <w:rPr>
          <w:color w:val="auto"/>
          <w:highlight w:val="none"/>
        </w:rPr>
        <w:fldChar w:fldCharType="begin"/>
      </w:r>
      <w:r>
        <w:rPr>
          <w:color w:val="auto"/>
          <w:highlight w:val="none"/>
        </w:rPr>
        <w:instrText xml:space="preserve"> PAGEREF _Toc32006 \h </w:instrText>
      </w:r>
      <w:r>
        <w:rPr>
          <w:color w:val="auto"/>
          <w:highlight w:val="none"/>
        </w:rPr>
        <w:fldChar w:fldCharType="separate"/>
      </w:r>
      <w:r>
        <w:rPr>
          <w:color w:val="auto"/>
          <w:highlight w:val="none"/>
        </w:rPr>
        <w:t>113</w:t>
      </w:r>
      <w:r>
        <w:rPr>
          <w:color w:val="auto"/>
          <w:highlight w:val="none"/>
        </w:rPr>
        <w:fldChar w:fldCharType="end"/>
      </w:r>
      <w:r>
        <w:rPr>
          <w:color w:val="auto"/>
          <w:highlight w:val="none"/>
        </w:rPr>
        <w:fldChar w:fldCharType="end"/>
      </w:r>
    </w:p>
    <w:p w14:paraId="0B5E541C">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"_Toc2857" </w:instrText>
      </w:r>
      <w:r>
        <w:rPr>
          <w:color w:val="auto"/>
          <w:highlight w:val="none"/>
        </w:rPr>
        <w:fldChar w:fldCharType="separate"/>
      </w:r>
      <w:r>
        <w:rPr>
          <w:rFonts w:hint="eastAsia" w:ascii="黑体" w:hAnsi="黑体"/>
          <w:color w:val="auto"/>
          <w:szCs w:val="28"/>
          <w:highlight w:val="none"/>
        </w:rPr>
        <w:t>附件一 合同协议书</w:t>
      </w:r>
      <w:r>
        <w:rPr>
          <w:color w:val="auto"/>
          <w:highlight w:val="none"/>
        </w:rPr>
        <w:tab/>
      </w:r>
      <w:r>
        <w:rPr>
          <w:color w:val="auto"/>
          <w:highlight w:val="none"/>
        </w:rPr>
        <w:fldChar w:fldCharType="begin"/>
      </w:r>
      <w:r>
        <w:rPr>
          <w:color w:val="auto"/>
          <w:highlight w:val="none"/>
        </w:rPr>
        <w:instrText xml:space="preserve"> PAGEREF _Toc2857 \h </w:instrText>
      </w:r>
      <w:r>
        <w:rPr>
          <w:color w:val="auto"/>
          <w:highlight w:val="none"/>
        </w:rPr>
        <w:fldChar w:fldCharType="separate"/>
      </w:r>
      <w:r>
        <w:rPr>
          <w:color w:val="auto"/>
          <w:highlight w:val="none"/>
        </w:rPr>
        <w:t>114</w:t>
      </w:r>
      <w:r>
        <w:rPr>
          <w:color w:val="auto"/>
          <w:highlight w:val="none"/>
        </w:rPr>
        <w:fldChar w:fldCharType="end"/>
      </w:r>
      <w:r>
        <w:rPr>
          <w:color w:val="auto"/>
          <w:highlight w:val="none"/>
        </w:rPr>
        <w:fldChar w:fldCharType="end"/>
      </w:r>
    </w:p>
    <w:p w14:paraId="2567B491">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"_Toc22177" </w:instrText>
      </w:r>
      <w:r>
        <w:rPr>
          <w:color w:val="auto"/>
          <w:highlight w:val="none"/>
        </w:rPr>
        <w:fldChar w:fldCharType="separate"/>
      </w:r>
      <w:r>
        <w:rPr>
          <w:rFonts w:hint="eastAsia" w:ascii="黑体" w:hAnsi="黑体"/>
          <w:color w:val="auto"/>
          <w:szCs w:val="28"/>
          <w:highlight w:val="none"/>
        </w:rPr>
        <w:t>附件二 廉政合同</w:t>
      </w:r>
      <w:r>
        <w:rPr>
          <w:color w:val="auto"/>
          <w:highlight w:val="none"/>
        </w:rPr>
        <w:tab/>
      </w:r>
      <w:r>
        <w:rPr>
          <w:color w:val="auto"/>
          <w:highlight w:val="none"/>
        </w:rPr>
        <w:fldChar w:fldCharType="begin"/>
      </w:r>
      <w:r>
        <w:rPr>
          <w:color w:val="auto"/>
          <w:highlight w:val="none"/>
        </w:rPr>
        <w:instrText xml:space="preserve"> PAGEREF _Toc22177 \h </w:instrText>
      </w:r>
      <w:r>
        <w:rPr>
          <w:color w:val="auto"/>
          <w:highlight w:val="none"/>
        </w:rPr>
        <w:fldChar w:fldCharType="separate"/>
      </w:r>
      <w:r>
        <w:rPr>
          <w:color w:val="auto"/>
          <w:highlight w:val="none"/>
        </w:rPr>
        <w:t>116</w:t>
      </w:r>
      <w:r>
        <w:rPr>
          <w:color w:val="auto"/>
          <w:highlight w:val="none"/>
        </w:rPr>
        <w:fldChar w:fldCharType="end"/>
      </w:r>
      <w:r>
        <w:rPr>
          <w:color w:val="auto"/>
          <w:highlight w:val="none"/>
        </w:rPr>
        <w:fldChar w:fldCharType="end"/>
      </w:r>
    </w:p>
    <w:p w14:paraId="28D68CC1">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"_Toc32198" </w:instrText>
      </w:r>
      <w:r>
        <w:rPr>
          <w:color w:val="auto"/>
          <w:highlight w:val="none"/>
        </w:rPr>
        <w:fldChar w:fldCharType="separate"/>
      </w:r>
      <w:r>
        <w:rPr>
          <w:rFonts w:hint="eastAsia" w:ascii="黑体" w:hAnsi="黑体"/>
          <w:color w:val="auto"/>
          <w:szCs w:val="28"/>
          <w:highlight w:val="none"/>
        </w:rPr>
        <w:t>附件三 分项负责人最低要求</w:t>
      </w:r>
      <w:r>
        <w:rPr>
          <w:color w:val="auto"/>
          <w:highlight w:val="none"/>
        </w:rPr>
        <w:tab/>
      </w:r>
      <w:r>
        <w:rPr>
          <w:color w:val="auto"/>
          <w:highlight w:val="none"/>
        </w:rPr>
        <w:fldChar w:fldCharType="begin"/>
      </w:r>
      <w:r>
        <w:rPr>
          <w:color w:val="auto"/>
          <w:highlight w:val="none"/>
        </w:rPr>
        <w:instrText xml:space="preserve"> PAGEREF _Toc32198 \h </w:instrText>
      </w:r>
      <w:r>
        <w:rPr>
          <w:color w:val="auto"/>
          <w:highlight w:val="none"/>
        </w:rPr>
        <w:fldChar w:fldCharType="separate"/>
      </w:r>
      <w:r>
        <w:rPr>
          <w:color w:val="auto"/>
          <w:highlight w:val="none"/>
        </w:rPr>
        <w:t>118</w:t>
      </w:r>
      <w:r>
        <w:rPr>
          <w:color w:val="auto"/>
          <w:highlight w:val="none"/>
        </w:rPr>
        <w:fldChar w:fldCharType="end"/>
      </w:r>
      <w:r>
        <w:rPr>
          <w:color w:val="auto"/>
          <w:highlight w:val="none"/>
        </w:rPr>
        <w:fldChar w:fldCharType="end"/>
      </w:r>
    </w:p>
    <w:p w14:paraId="599C0B45">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"_Toc27168" </w:instrText>
      </w:r>
      <w:r>
        <w:rPr>
          <w:color w:val="auto"/>
          <w:highlight w:val="none"/>
        </w:rPr>
        <w:fldChar w:fldCharType="separate"/>
      </w:r>
      <w:r>
        <w:rPr>
          <w:rFonts w:hint="eastAsia" w:ascii="黑体" w:hAnsi="黑体"/>
          <w:color w:val="auto"/>
          <w:szCs w:val="28"/>
          <w:highlight w:val="none"/>
        </w:rPr>
        <w:t>附件四 设计质量责任合同格式</w:t>
      </w:r>
      <w:r>
        <w:rPr>
          <w:color w:val="auto"/>
          <w:highlight w:val="none"/>
        </w:rPr>
        <w:tab/>
      </w:r>
      <w:r>
        <w:rPr>
          <w:color w:val="auto"/>
          <w:highlight w:val="none"/>
        </w:rPr>
        <w:fldChar w:fldCharType="begin"/>
      </w:r>
      <w:r>
        <w:rPr>
          <w:color w:val="auto"/>
          <w:highlight w:val="none"/>
        </w:rPr>
        <w:instrText xml:space="preserve"> PAGEREF _Toc27168 \h </w:instrText>
      </w:r>
      <w:r>
        <w:rPr>
          <w:color w:val="auto"/>
          <w:highlight w:val="none"/>
        </w:rPr>
        <w:fldChar w:fldCharType="separate"/>
      </w:r>
      <w:r>
        <w:rPr>
          <w:color w:val="auto"/>
          <w:highlight w:val="none"/>
        </w:rPr>
        <w:t>119</w:t>
      </w:r>
      <w:r>
        <w:rPr>
          <w:color w:val="auto"/>
          <w:highlight w:val="none"/>
        </w:rPr>
        <w:fldChar w:fldCharType="end"/>
      </w:r>
      <w:r>
        <w:rPr>
          <w:color w:val="auto"/>
          <w:highlight w:val="none"/>
        </w:rPr>
        <w:fldChar w:fldCharType="end"/>
      </w:r>
    </w:p>
    <w:p w14:paraId="1AD25FB1">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"_Toc17510" </w:instrText>
      </w:r>
      <w:r>
        <w:rPr>
          <w:color w:val="auto"/>
          <w:highlight w:val="none"/>
        </w:rPr>
        <w:fldChar w:fldCharType="separate"/>
      </w:r>
      <w:r>
        <w:rPr>
          <w:rFonts w:hint="eastAsia" w:ascii="黑体" w:hAnsi="黑体"/>
          <w:color w:val="auto"/>
          <w:szCs w:val="28"/>
          <w:highlight w:val="none"/>
        </w:rPr>
        <w:t>附件五 履约保证金格式</w:t>
      </w:r>
      <w:r>
        <w:rPr>
          <w:color w:val="auto"/>
          <w:highlight w:val="none"/>
        </w:rPr>
        <w:tab/>
      </w:r>
      <w:r>
        <w:rPr>
          <w:color w:val="auto"/>
          <w:highlight w:val="none"/>
        </w:rPr>
        <w:fldChar w:fldCharType="begin"/>
      </w:r>
      <w:r>
        <w:rPr>
          <w:color w:val="auto"/>
          <w:highlight w:val="none"/>
        </w:rPr>
        <w:instrText xml:space="preserve"> PAGEREF _Toc17510 \h </w:instrText>
      </w:r>
      <w:r>
        <w:rPr>
          <w:color w:val="auto"/>
          <w:highlight w:val="none"/>
        </w:rPr>
        <w:fldChar w:fldCharType="separate"/>
      </w:r>
      <w:r>
        <w:rPr>
          <w:color w:val="auto"/>
          <w:highlight w:val="none"/>
        </w:rPr>
        <w:t>121</w:t>
      </w:r>
      <w:r>
        <w:rPr>
          <w:color w:val="auto"/>
          <w:highlight w:val="none"/>
        </w:rPr>
        <w:fldChar w:fldCharType="end"/>
      </w:r>
      <w:r>
        <w:rPr>
          <w:color w:val="auto"/>
          <w:highlight w:val="none"/>
        </w:rPr>
        <w:fldChar w:fldCharType="end"/>
      </w:r>
    </w:p>
    <w:p w14:paraId="4AC62AEA">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"_Toc18824" </w:instrText>
      </w:r>
      <w:r>
        <w:rPr>
          <w:color w:val="auto"/>
          <w:highlight w:val="none"/>
        </w:rPr>
        <w:fldChar w:fldCharType="separate"/>
      </w:r>
      <w:r>
        <w:rPr>
          <w:rFonts w:hint="eastAsia" w:ascii="黑体" w:hAnsi="黑体" w:eastAsia="黑体" w:cs="宋体"/>
          <w:color w:val="auto"/>
          <w:szCs w:val="28"/>
          <w:highlight w:val="none"/>
        </w:rPr>
        <w:t>附件六 项目图纸资料保密承诺书格式</w:t>
      </w:r>
      <w:r>
        <w:rPr>
          <w:color w:val="auto"/>
          <w:highlight w:val="none"/>
        </w:rPr>
        <w:tab/>
      </w:r>
      <w:r>
        <w:rPr>
          <w:color w:val="auto"/>
          <w:highlight w:val="none"/>
        </w:rPr>
        <w:fldChar w:fldCharType="begin"/>
      </w:r>
      <w:r>
        <w:rPr>
          <w:color w:val="auto"/>
          <w:highlight w:val="none"/>
        </w:rPr>
        <w:instrText xml:space="preserve"> PAGEREF _Toc18824 \h </w:instrText>
      </w:r>
      <w:r>
        <w:rPr>
          <w:color w:val="auto"/>
          <w:highlight w:val="none"/>
        </w:rPr>
        <w:fldChar w:fldCharType="separate"/>
      </w:r>
      <w:r>
        <w:rPr>
          <w:color w:val="auto"/>
          <w:highlight w:val="none"/>
        </w:rPr>
        <w:t>122</w:t>
      </w:r>
      <w:r>
        <w:rPr>
          <w:color w:val="auto"/>
          <w:highlight w:val="none"/>
        </w:rPr>
        <w:fldChar w:fldCharType="end"/>
      </w:r>
      <w:r>
        <w:rPr>
          <w:color w:val="auto"/>
          <w:highlight w:val="none"/>
        </w:rPr>
        <w:fldChar w:fldCharType="end"/>
      </w:r>
    </w:p>
    <w:p w14:paraId="6AC0FB23">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"_Toc26738" </w:instrText>
      </w:r>
      <w:r>
        <w:rPr>
          <w:color w:val="auto"/>
          <w:highlight w:val="none"/>
        </w:rPr>
        <w:fldChar w:fldCharType="separate"/>
      </w:r>
      <w:r>
        <w:rPr>
          <w:rFonts w:hint="eastAsia" w:ascii="黑体" w:hAnsi="黑体" w:cs="黑体"/>
          <w:color w:val="auto"/>
          <w:szCs w:val="44"/>
          <w:highlight w:val="none"/>
        </w:rPr>
        <w:t>第五章 发包人要求</w:t>
      </w:r>
      <w:r>
        <w:rPr>
          <w:color w:val="auto"/>
          <w:highlight w:val="none"/>
        </w:rPr>
        <w:tab/>
      </w:r>
      <w:r>
        <w:rPr>
          <w:color w:val="auto"/>
          <w:highlight w:val="none"/>
        </w:rPr>
        <w:fldChar w:fldCharType="begin"/>
      </w:r>
      <w:r>
        <w:rPr>
          <w:color w:val="auto"/>
          <w:highlight w:val="none"/>
        </w:rPr>
        <w:instrText xml:space="preserve"> PAGEREF _Toc26738 \h </w:instrText>
      </w:r>
      <w:r>
        <w:rPr>
          <w:color w:val="auto"/>
          <w:highlight w:val="none"/>
        </w:rPr>
        <w:fldChar w:fldCharType="separate"/>
      </w:r>
      <w:r>
        <w:rPr>
          <w:color w:val="auto"/>
          <w:highlight w:val="none"/>
        </w:rPr>
        <w:t>123</w:t>
      </w:r>
      <w:r>
        <w:rPr>
          <w:color w:val="auto"/>
          <w:highlight w:val="none"/>
        </w:rPr>
        <w:fldChar w:fldCharType="end"/>
      </w:r>
      <w:r>
        <w:rPr>
          <w:color w:val="auto"/>
          <w:highlight w:val="none"/>
        </w:rPr>
        <w:fldChar w:fldCharType="end"/>
      </w:r>
    </w:p>
    <w:p w14:paraId="34411E4B">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"_Toc561" </w:instrText>
      </w:r>
      <w:r>
        <w:rPr>
          <w:color w:val="auto"/>
          <w:highlight w:val="none"/>
        </w:rPr>
        <w:fldChar w:fldCharType="separate"/>
      </w:r>
      <w:r>
        <w:rPr>
          <w:rFonts w:hint="eastAsia" w:ascii="黑体" w:hAnsi="黑体" w:cs="黑体"/>
          <w:color w:val="auto"/>
          <w:szCs w:val="44"/>
          <w:highlight w:val="none"/>
        </w:rPr>
        <w:t>第六章  竞包文件格式</w:t>
      </w:r>
      <w:r>
        <w:rPr>
          <w:color w:val="auto"/>
          <w:highlight w:val="none"/>
        </w:rPr>
        <w:tab/>
      </w:r>
      <w:r>
        <w:rPr>
          <w:color w:val="auto"/>
          <w:highlight w:val="none"/>
        </w:rPr>
        <w:fldChar w:fldCharType="begin"/>
      </w:r>
      <w:r>
        <w:rPr>
          <w:color w:val="auto"/>
          <w:highlight w:val="none"/>
        </w:rPr>
        <w:instrText xml:space="preserve"> PAGEREF _Toc561 \h </w:instrText>
      </w:r>
      <w:r>
        <w:rPr>
          <w:color w:val="auto"/>
          <w:highlight w:val="none"/>
        </w:rPr>
        <w:fldChar w:fldCharType="separate"/>
      </w:r>
      <w:r>
        <w:rPr>
          <w:color w:val="auto"/>
          <w:highlight w:val="none"/>
        </w:rPr>
        <w:t>132</w:t>
      </w:r>
      <w:r>
        <w:rPr>
          <w:color w:val="auto"/>
          <w:highlight w:val="none"/>
        </w:rPr>
        <w:fldChar w:fldCharType="end"/>
      </w:r>
      <w:r>
        <w:rPr>
          <w:color w:val="auto"/>
          <w:highlight w:val="none"/>
        </w:rPr>
        <w:fldChar w:fldCharType="end"/>
      </w:r>
    </w:p>
    <w:p w14:paraId="5F6BA8E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"_Toc3377" </w:instrText>
      </w:r>
      <w:r>
        <w:rPr>
          <w:color w:val="auto"/>
          <w:highlight w:val="none"/>
        </w:rPr>
        <w:fldChar w:fldCharType="separate"/>
      </w:r>
      <w:r>
        <w:rPr>
          <w:rFonts w:hint="eastAsia"/>
          <w:color w:val="auto"/>
          <w:szCs w:val="44"/>
          <w:highlight w:val="none"/>
        </w:rPr>
        <w:t>（商务文件）</w:t>
      </w:r>
      <w:r>
        <w:rPr>
          <w:color w:val="auto"/>
          <w:highlight w:val="none"/>
        </w:rPr>
        <w:tab/>
      </w:r>
      <w:r>
        <w:rPr>
          <w:color w:val="auto"/>
          <w:highlight w:val="none"/>
        </w:rPr>
        <w:fldChar w:fldCharType="begin"/>
      </w:r>
      <w:r>
        <w:rPr>
          <w:color w:val="auto"/>
          <w:highlight w:val="none"/>
        </w:rPr>
        <w:instrText xml:space="preserve"> PAGEREF _Toc3377 \h </w:instrText>
      </w:r>
      <w:r>
        <w:rPr>
          <w:color w:val="auto"/>
          <w:highlight w:val="none"/>
        </w:rPr>
        <w:fldChar w:fldCharType="separate"/>
      </w:r>
      <w:r>
        <w:rPr>
          <w:color w:val="auto"/>
          <w:highlight w:val="none"/>
        </w:rPr>
        <w:t>133</w:t>
      </w:r>
      <w:r>
        <w:rPr>
          <w:color w:val="auto"/>
          <w:highlight w:val="none"/>
        </w:rPr>
        <w:fldChar w:fldCharType="end"/>
      </w:r>
      <w:r>
        <w:rPr>
          <w:color w:val="auto"/>
          <w:highlight w:val="none"/>
        </w:rPr>
        <w:fldChar w:fldCharType="end"/>
      </w:r>
    </w:p>
    <w:p w14:paraId="0231D71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"_Toc28775" </w:instrText>
      </w:r>
      <w:r>
        <w:rPr>
          <w:color w:val="auto"/>
          <w:highlight w:val="none"/>
        </w:rPr>
        <w:fldChar w:fldCharType="separate"/>
      </w:r>
      <w:r>
        <w:rPr>
          <w:rFonts w:hint="eastAsia"/>
          <w:color w:val="auto"/>
          <w:szCs w:val="30"/>
          <w:highlight w:val="none"/>
        </w:rPr>
        <w:t>目    录</w:t>
      </w:r>
      <w:r>
        <w:rPr>
          <w:color w:val="auto"/>
          <w:highlight w:val="none"/>
        </w:rPr>
        <w:tab/>
      </w:r>
      <w:r>
        <w:rPr>
          <w:color w:val="auto"/>
          <w:highlight w:val="none"/>
        </w:rPr>
        <w:fldChar w:fldCharType="begin"/>
      </w:r>
      <w:r>
        <w:rPr>
          <w:color w:val="auto"/>
          <w:highlight w:val="none"/>
        </w:rPr>
        <w:instrText xml:space="preserve"> PAGEREF _Toc28775 \h </w:instrText>
      </w:r>
      <w:r>
        <w:rPr>
          <w:color w:val="auto"/>
          <w:highlight w:val="none"/>
        </w:rPr>
        <w:fldChar w:fldCharType="separate"/>
      </w:r>
      <w:r>
        <w:rPr>
          <w:color w:val="auto"/>
          <w:highlight w:val="none"/>
        </w:rPr>
        <w:t>134</w:t>
      </w:r>
      <w:r>
        <w:rPr>
          <w:color w:val="auto"/>
          <w:highlight w:val="none"/>
        </w:rPr>
        <w:fldChar w:fldCharType="end"/>
      </w:r>
      <w:r>
        <w:rPr>
          <w:color w:val="auto"/>
          <w:highlight w:val="none"/>
        </w:rPr>
        <w:fldChar w:fldCharType="end"/>
      </w:r>
    </w:p>
    <w:p w14:paraId="0748A4E8">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"_Toc21335" </w:instrText>
      </w:r>
      <w:r>
        <w:rPr>
          <w:color w:val="auto"/>
          <w:highlight w:val="none"/>
        </w:rPr>
        <w:fldChar w:fldCharType="separate"/>
      </w:r>
      <w:r>
        <w:rPr>
          <w:color w:val="auto"/>
          <w:szCs w:val="30"/>
          <w:highlight w:val="none"/>
        </w:rPr>
        <w:t>一、</w:t>
      </w:r>
      <w:r>
        <w:rPr>
          <w:rFonts w:hint="eastAsia"/>
          <w:color w:val="auto"/>
          <w:szCs w:val="30"/>
          <w:highlight w:val="none"/>
        </w:rPr>
        <w:t>竞包</w:t>
      </w:r>
      <w:r>
        <w:rPr>
          <w:color w:val="auto"/>
          <w:szCs w:val="30"/>
          <w:highlight w:val="none"/>
        </w:rPr>
        <w:t>函</w:t>
      </w:r>
      <w:r>
        <w:rPr>
          <w:color w:val="auto"/>
          <w:highlight w:val="none"/>
        </w:rPr>
        <w:tab/>
      </w:r>
      <w:r>
        <w:rPr>
          <w:color w:val="auto"/>
          <w:highlight w:val="none"/>
        </w:rPr>
        <w:fldChar w:fldCharType="begin"/>
      </w:r>
      <w:r>
        <w:rPr>
          <w:color w:val="auto"/>
          <w:highlight w:val="none"/>
        </w:rPr>
        <w:instrText xml:space="preserve"> PAGEREF _Toc21335 \h </w:instrText>
      </w:r>
      <w:r>
        <w:rPr>
          <w:color w:val="auto"/>
          <w:highlight w:val="none"/>
        </w:rPr>
        <w:fldChar w:fldCharType="separate"/>
      </w:r>
      <w:r>
        <w:rPr>
          <w:color w:val="auto"/>
          <w:highlight w:val="none"/>
        </w:rPr>
        <w:t>135</w:t>
      </w:r>
      <w:r>
        <w:rPr>
          <w:color w:val="auto"/>
          <w:highlight w:val="none"/>
        </w:rPr>
        <w:fldChar w:fldCharType="end"/>
      </w:r>
      <w:r>
        <w:rPr>
          <w:color w:val="auto"/>
          <w:highlight w:val="none"/>
        </w:rPr>
        <w:fldChar w:fldCharType="end"/>
      </w:r>
    </w:p>
    <w:p w14:paraId="0137092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"_Toc31038" </w:instrText>
      </w:r>
      <w:r>
        <w:rPr>
          <w:color w:val="auto"/>
          <w:highlight w:val="none"/>
        </w:rPr>
        <w:fldChar w:fldCharType="separate"/>
      </w:r>
      <w:r>
        <w:rPr>
          <w:color w:val="auto"/>
          <w:szCs w:val="30"/>
          <w:highlight w:val="none"/>
        </w:rPr>
        <w:t>二、</w:t>
      </w:r>
      <w:r>
        <w:rPr>
          <w:rFonts w:hint="eastAsia"/>
          <w:color w:val="auto"/>
          <w:szCs w:val="30"/>
          <w:highlight w:val="none"/>
        </w:rPr>
        <w:t>授权委托书或</w:t>
      </w:r>
      <w:r>
        <w:rPr>
          <w:color w:val="auto"/>
          <w:szCs w:val="30"/>
          <w:highlight w:val="none"/>
        </w:rPr>
        <w:t>法定代表人身份证明</w:t>
      </w:r>
      <w:r>
        <w:rPr>
          <w:color w:val="auto"/>
          <w:highlight w:val="none"/>
        </w:rPr>
        <w:tab/>
      </w:r>
      <w:r>
        <w:rPr>
          <w:color w:val="auto"/>
          <w:highlight w:val="none"/>
        </w:rPr>
        <w:fldChar w:fldCharType="begin"/>
      </w:r>
      <w:r>
        <w:rPr>
          <w:color w:val="auto"/>
          <w:highlight w:val="none"/>
        </w:rPr>
        <w:instrText xml:space="preserve"> PAGEREF _Toc31038 \h </w:instrText>
      </w:r>
      <w:r>
        <w:rPr>
          <w:color w:val="auto"/>
          <w:highlight w:val="none"/>
        </w:rPr>
        <w:fldChar w:fldCharType="separate"/>
      </w:r>
      <w:r>
        <w:rPr>
          <w:color w:val="auto"/>
          <w:highlight w:val="none"/>
        </w:rPr>
        <w:t>137</w:t>
      </w:r>
      <w:r>
        <w:rPr>
          <w:color w:val="auto"/>
          <w:highlight w:val="none"/>
        </w:rPr>
        <w:fldChar w:fldCharType="end"/>
      </w:r>
      <w:r>
        <w:rPr>
          <w:color w:val="auto"/>
          <w:highlight w:val="none"/>
        </w:rPr>
        <w:fldChar w:fldCharType="end"/>
      </w:r>
    </w:p>
    <w:p w14:paraId="2FD6C647">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"_Toc32271" </w:instrText>
      </w:r>
      <w:r>
        <w:rPr>
          <w:color w:val="auto"/>
          <w:highlight w:val="none"/>
        </w:rPr>
        <w:fldChar w:fldCharType="separate"/>
      </w:r>
      <w:r>
        <w:rPr>
          <w:rFonts w:hint="eastAsia"/>
          <w:color w:val="auto"/>
          <w:szCs w:val="30"/>
          <w:highlight w:val="none"/>
        </w:rPr>
        <w:t>（一）</w:t>
      </w:r>
      <w:r>
        <w:rPr>
          <w:color w:val="auto"/>
          <w:szCs w:val="30"/>
          <w:highlight w:val="none"/>
        </w:rPr>
        <w:t>授权委托书</w:t>
      </w:r>
      <w:r>
        <w:rPr>
          <w:color w:val="auto"/>
          <w:highlight w:val="none"/>
        </w:rPr>
        <w:tab/>
      </w:r>
      <w:r>
        <w:rPr>
          <w:color w:val="auto"/>
          <w:highlight w:val="none"/>
        </w:rPr>
        <w:fldChar w:fldCharType="begin"/>
      </w:r>
      <w:r>
        <w:rPr>
          <w:color w:val="auto"/>
          <w:highlight w:val="none"/>
        </w:rPr>
        <w:instrText xml:space="preserve"> PAGEREF _Toc32271 \h </w:instrText>
      </w:r>
      <w:r>
        <w:rPr>
          <w:color w:val="auto"/>
          <w:highlight w:val="none"/>
        </w:rPr>
        <w:fldChar w:fldCharType="separate"/>
      </w:r>
      <w:r>
        <w:rPr>
          <w:color w:val="auto"/>
          <w:highlight w:val="none"/>
        </w:rPr>
        <w:t>137</w:t>
      </w:r>
      <w:r>
        <w:rPr>
          <w:color w:val="auto"/>
          <w:highlight w:val="none"/>
        </w:rPr>
        <w:fldChar w:fldCharType="end"/>
      </w:r>
      <w:r>
        <w:rPr>
          <w:color w:val="auto"/>
          <w:highlight w:val="none"/>
        </w:rPr>
        <w:fldChar w:fldCharType="end"/>
      </w:r>
    </w:p>
    <w:p w14:paraId="0B8D1D6D">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"_Toc9214" </w:instrText>
      </w:r>
      <w:r>
        <w:rPr>
          <w:color w:val="auto"/>
          <w:highlight w:val="none"/>
        </w:rPr>
        <w:fldChar w:fldCharType="separate"/>
      </w:r>
      <w:r>
        <w:rPr>
          <w:rFonts w:hint="eastAsia"/>
          <w:color w:val="auto"/>
          <w:szCs w:val="30"/>
          <w:highlight w:val="none"/>
        </w:rPr>
        <w:t>（二）法定代表人身份证明</w:t>
      </w:r>
      <w:r>
        <w:rPr>
          <w:color w:val="auto"/>
          <w:highlight w:val="none"/>
        </w:rPr>
        <w:tab/>
      </w:r>
      <w:r>
        <w:rPr>
          <w:color w:val="auto"/>
          <w:highlight w:val="none"/>
        </w:rPr>
        <w:fldChar w:fldCharType="begin"/>
      </w:r>
      <w:r>
        <w:rPr>
          <w:color w:val="auto"/>
          <w:highlight w:val="none"/>
        </w:rPr>
        <w:instrText xml:space="preserve"> PAGEREF _Toc9214 \h </w:instrText>
      </w:r>
      <w:r>
        <w:rPr>
          <w:color w:val="auto"/>
          <w:highlight w:val="none"/>
        </w:rPr>
        <w:fldChar w:fldCharType="separate"/>
      </w:r>
      <w:r>
        <w:rPr>
          <w:color w:val="auto"/>
          <w:highlight w:val="none"/>
        </w:rPr>
        <w:t>138</w:t>
      </w:r>
      <w:r>
        <w:rPr>
          <w:color w:val="auto"/>
          <w:highlight w:val="none"/>
        </w:rPr>
        <w:fldChar w:fldCharType="end"/>
      </w:r>
      <w:r>
        <w:rPr>
          <w:color w:val="auto"/>
          <w:highlight w:val="none"/>
        </w:rPr>
        <w:fldChar w:fldCharType="end"/>
      </w:r>
    </w:p>
    <w:p w14:paraId="1EE96F6D">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"_Toc3390" </w:instrText>
      </w:r>
      <w:r>
        <w:rPr>
          <w:color w:val="auto"/>
          <w:highlight w:val="none"/>
        </w:rPr>
        <w:fldChar w:fldCharType="separate"/>
      </w:r>
      <w:r>
        <w:rPr>
          <w:rFonts w:hint="eastAsia"/>
          <w:color w:val="auto"/>
          <w:szCs w:val="30"/>
          <w:highlight w:val="none"/>
        </w:rPr>
        <w:t>三</w:t>
      </w:r>
      <w:r>
        <w:rPr>
          <w:color w:val="auto"/>
          <w:szCs w:val="30"/>
          <w:highlight w:val="none"/>
        </w:rPr>
        <w:t>、</w:t>
      </w:r>
      <w:r>
        <w:rPr>
          <w:rFonts w:hint="eastAsia"/>
          <w:color w:val="auto"/>
          <w:szCs w:val="30"/>
          <w:highlight w:val="none"/>
        </w:rPr>
        <w:t>联合体协议书</w:t>
      </w:r>
      <w:r>
        <w:rPr>
          <w:color w:val="auto"/>
          <w:highlight w:val="none"/>
        </w:rPr>
        <w:tab/>
      </w:r>
      <w:r>
        <w:rPr>
          <w:color w:val="auto"/>
          <w:highlight w:val="none"/>
        </w:rPr>
        <w:fldChar w:fldCharType="begin"/>
      </w:r>
      <w:r>
        <w:rPr>
          <w:color w:val="auto"/>
          <w:highlight w:val="none"/>
        </w:rPr>
        <w:instrText xml:space="preserve"> PAGEREF _Toc3390 \h </w:instrText>
      </w:r>
      <w:r>
        <w:rPr>
          <w:color w:val="auto"/>
          <w:highlight w:val="none"/>
        </w:rPr>
        <w:fldChar w:fldCharType="separate"/>
      </w:r>
      <w:r>
        <w:rPr>
          <w:color w:val="auto"/>
          <w:highlight w:val="none"/>
        </w:rPr>
        <w:t>139</w:t>
      </w:r>
      <w:r>
        <w:rPr>
          <w:color w:val="auto"/>
          <w:highlight w:val="none"/>
        </w:rPr>
        <w:fldChar w:fldCharType="end"/>
      </w:r>
      <w:r>
        <w:rPr>
          <w:color w:val="auto"/>
          <w:highlight w:val="none"/>
        </w:rPr>
        <w:fldChar w:fldCharType="end"/>
      </w:r>
    </w:p>
    <w:p w14:paraId="554C4903">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"_Toc6082" </w:instrText>
      </w:r>
      <w:r>
        <w:rPr>
          <w:color w:val="auto"/>
          <w:highlight w:val="none"/>
        </w:rPr>
        <w:fldChar w:fldCharType="separate"/>
      </w:r>
      <w:r>
        <w:rPr>
          <w:rFonts w:hint="eastAsia"/>
          <w:color w:val="auto"/>
          <w:szCs w:val="30"/>
          <w:highlight w:val="none"/>
        </w:rPr>
        <w:t>四</w:t>
      </w:r>
      <w:r>
        <w:rPr>
          <w:color w:val="auto"/>
          <w:szCs w:val="30"/>
          <w:highlight w:val="none"/>
        </w:rPr>
        <w:t>、</w:t>
      </w:r>
      <w:r>
        <w:rPr>
          <w:rFonts w:hint="eastAsia"/>
          <w:color w:val="auto"/>
          <w:szCs w:val="30"/>
          <w:highlight w:val="none"/>
        </w:rPr>
        <w:t>竞包</w:t>
      </w:r>
      <w:r>
        <w:rPr>
          <w:color w:val="auto"/>
          <w:szCs w:val="30"/>
          <w:highlight w:val="none"/>
        </w:rPr>
        <w:t>保证金</w:t>
      </w:r>
      <w:r>
        <w:rPr>
          <w:color w:val="auto"/>
          <w:highlight w:val="none"/>
        </w:rPr>
        <w:tab/>
      </w:r>
      <w:r>
        <w:rPr>
          <w:color w:val="auto"/>
          <w:highlight w:val="none"/>
        </w:rPr>
        <w:fldChar w:fldCharType="begin"/>
      </w:r>
      <w:r>
        <w:rPr>
          <w:color w:val="auto"/>
          <w:highlight w:val="none"/>
        </w:rPr>
        <w:instrText xml:space="preserve"> PAGEREF _Toc6082 \h </w:instrText>
      </w:r>
      <w:r>
        <w:rPr>
          <w:color w:val="auto"/>
          <w:highlight w:val="none"/>
        </w:rPr>
        <w:fldChar w:fldCharType="separate"/>
      </w:r>
      <w:r>
        <w:rPr>
          <w:color w:val="auto"/>
          <w:highlight w:val="none"/>
        </w:rPr>
        <w:t>140</w:t>
      </w:r>
      <w:r>
        <w:rPr>
          <w:color w:val="auto"/>
          <w:highlight w:val="none"/>
        </w:rPr>
        <w:fldChar w:fldCharType="end"/>
      </w:r>
      <w:r>
        <w:rPr>
          <w:color w:val="auto"/>
          <w:highlight w:val="none"/>
        </w:rPr>
        <w:fldChar w:fldCharType="end"/>
      </w:r>
    </w:p>
    <w:p w14:paraId="783EE386">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"_Toc24349" </w:instrText>
      </w:r>
      <w:r>
        <w:rPr>
          <w:color w:val="auto"/>
          <w:highlight w:val="none"/>
        </w:rPr>
        <w:fldChar w:fldCharType="separate"/>
      </w:r>
      <w:r>
        <w:rPr>
          <w:rFonts w:hint="eastAsia"/>
          <w:color w:val="auto"/>
          <w:szCs w:val="30"/>
          <w:highlight w:val="none"/>
        </w:rPr>
        <w:t>五、拟分包项目情况表</w:t>
      </w:r>
      <w:r>
        <w:rPr>
          <w:color w:val="auto"/>
          <w:highlight w:val="none"/>
        </w:rPr>
        <w:tab/>
      </w:r>
      <w:r>
        <w:rPr>
          <w:color w:val="auto"/>
          <w:highlight w:val="none"/>
        </w:rPr>
        <w:fldChar w:fldCharType="begin"/>
      </w:r>
      <w:r>
        <w:rPr>
          <w:color w:val="auto"/>
          <w:highlight w:val="none"/>
        </w:rPr>
        <w:instrText xml:space="preserve"> PAGEREF _Toc24349 \h </w:instrText>
      </w:r>
      <w:r>
        <w:rPr>
          <w:color w:val="auto"/>
          <w:highlight w:val="none"/>
        </w:rPr>
        <w:fldChar w:fldCharType="separate"/>
      </w:r>
      <w:r>
        <w:rPr>
          <w:color w:val="auto"/>
          <w:highlight w:val="none"/>
        </w:rPr>
        <w:t>141</w:t>
      </w:r>
      <w:r>
        <w:rPr>
          <w:color w:val="auto"/>
          <w:highlight w:val="none"/>
        </w:rPr>
        <w:fldChar w:fldCharType="end"/>
      </w:r>
      <w:r>
        <w:rPr>
          <w:color w:val="auto"/>
          <w:highlight w:val="none"/>
        </w:rPr>
        <w:fldChar w:fldCharType="end"/>
      </w:r>
    </w:p>
    <w:p w14:paraId="6B98B49A">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"_Toc26436" </w:instrText>
      </w:r>
      <w:r>
        <w:rPr>
          <w:color w:val="auto"/>
          <w:highlight w:val="none"/>
        </w:rPr>
        <w:fldChar w:fldCharType="separate"/>
      </w:r>
      <w:r>
        <w:rPr>
          <w:rFonts w:hint="eastAsia"/>
          <w:color w:val="auto"/>
          <w:szCs w:val="30"/>
          <w:highlight w:val="none"/>
        </w:rPr>
        <w:t>六</w:t>
      </w:r>
      <w:r>
        <w:rPr>
          <w:color w:val="auto"/>
          <w:szCs w:val="30"/>
          <w:highlight w:val="none"/>
        </w:rPr>
        <w:t>、</w:t>
      </w:r>
      <w:r>
        <w:rPr>
          <w:rFonts w:hint="eastAsia"/>
          <w:color w:val="auto"/>
          <w:szCs w:val="30"/>
          <w:highlight w:val="none"/>
        </w:rPr>
        <w:t>资格审查表</w:t>
      </w:r>
      <w:r>
        <w:rPr>
          <w:color w:val="auto"/>
          <w:highlight w:val="none"/>
        </w:rPr>
        <w:tab/>
      </w:r>
      <w:r>
        <w:rPr>
          <w:color w:val="auto"/>
          <w:highlight w:val="none"/>
        </w:rPr>
        <w:fldChar w:fldCharType="begin"/>
      </w:r>
      <w:r>
        <w:rPr>
          <w:color w:val="auto"/>
          <w:highlight w:val="none"/>
        </w:rPr>
        <w:instrText xml:space="preserve"> PAGEREF _Toc26436 \h </w:instrText>
      </w:r>
      <w:r>
        <w:rPr>
          <w:color w:val="auto"/>
          <w:highlight w:val="none"/>
        </w:rPr>
        <w:fldChar w:fldCharType="separate"/>
      </w:r>
      <w:r>
        <w:rPr>
          <w:color w:val="auto"/>
          <w:highlight w:val="none"/>
        </w:rPr>
        <w:t>142</w:t>
      </w:r>
      <w:r>
        <w:rPr>
          <w:color w:val="auto"/>
          <w:highlight w:val="none"/>
        </w:rPr>
        <w:fldChar w:fldCharType="end"/>
      </w:r>
      <w:r>
        <w:rPr>
          <w:color w:val="auto"/>
          <w:highlight w:val="none"/>
        </w:rPr>
        <w:fldChar w:fldCharType="end"/>
      </w:r>
    </w:p>
    <w:p w14:paraId="58A61184">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"_Toc9203" </w:instrText>
      </w:r>
      <w:r>
        <w:rPr>
          <w:color w:val="auto"/>
          <w:highlight w:val="none"/>
        </w:rPr>
        <w:fldChar w:fldCharType="separate"/>
      </w:r>
      <w:r>
        <w:rPr>
          <w:rFonts w:hint="eastAsia"/>
          <w:color w:val="auto"/>
          <w:szCs w:val="30"/>
          <w:highlight w:val="none"/>
        </w:rPr>
        <w:t>（一）竞包人基本情况表</w:t>
      </w:r>
      <w:r>
        <w:rPr>
          <w:color w:val="auto"/>
          <w:highlight w:val="none"/>
        </w:rPr>
        <w:tab/>
      </w:r>
      <w:r>
        <w:rPr>
          <w:color w:val="auto"/>
          <w:highlight w:val="none"/>
        </w:rPr>
        <w:fldChar w:fldCharType="begin"/>
      </w:r>
      <w:r>
        <w:rPr>
          <w:color w:val="auto"/>
          <w:highlight w:val="none"/>
        </w:rPr>
        <w:instrText xml:space="preserve"> PAGEREF _Toc9203 \h </w:instrText>
      </w:r>
      <w:r>
        <w:rPr>
          <w:color w:val="auto"/>
          <w:highlight w:val="none"/>
        </w:rPr>
        <w:fldChar w:fldCharType="separate"/>
      </w:r>
      <w:r>
        <w:rPr>
          <w:color w:val="auto"/>
          <w:highlight w:val="none"/>
        </w:rPr>
        <w:t>142</w:t>
      </w:r>
      <w:r>
        <w:rPr>
          <w:color w:val="auto"/>
          <w:highlight w:val="none"/>
        </w:rPr>
        <w:fldChar w:fldCharType="end"/>
      </w:r>
      <w:r>
        <w:rPr>
          <w:color w:val="auto"/>
          <w:highlight w:val="none"/>
        </w:rPr>
        <w:fldChar w:fldCharType="end"/>
      </w:r>
    </w:p>
    <w:p w14:paraId="4ACB037F">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"_Toc31818" </w:instrText>
      </w:r>
      <w:r>
        <w:rPr>
          <w:color w:val="auto"/>
          <w:highlight w:val="none"/>
        </w:rPr>
        <w:fldChar w:fldCharType="separate"/>
      </w:r>
      <w:r>
        <w:rPr>
          <w:rFonts w:hint="eastAsia"/>
          <w:color w:val="auto"/>
          <w:szCs w:val="30"/>
          <w:highlight w:val="none"/>
        </w:rPr>
        <w:t>（二）竞包人企业组织机构框图</w:t>
      </w:r>
      <w:r>
        <w:rPr>
          <w:color w:val="auto"/>
          <w:highlight w:val="none"/>
        </w:rPr>
        <w:tab/>
      </w:r>
      <w:r>
        <w:rPr>
          <w:color w:val="auto"/>
          <w:highlight w:val="none"/>
        </w:rPr>
        <w:fldChar w:fldCharType="begin"/>
      </w:r>
      <w:r>
        <w:rPr>
          <w:color w:val="auto"/>
          <w:highlight w:val="none"/>
        </w:rPr>
        <w:instrText xml:space="preserve"> PAGEREF _Toc31818 \h </w:instrText>
      </w:r>
      <w:r>
        <w:rPr>
          <w:color w:val="auto"/>
          <w:highlight w:val="none"/>
        </w:rPr>
        <w:fldChar w:fldCharType="separate"/>
      </w:r>
      <w:r>
        <w:rPr>
          <w:color w:val="auto"/>
          <w:highlight w:val="none"/>
        </w:rPr>
        <w:t>143</w:t>
      </w:r>
      <w:r>
        <w:rPr>
          <w:color w:val="auto"/>
          <w:highlight w:val="none"/>
        </w:rPr>
        <w:fldChar w:fldCharType="end"/>
      </w:r>
      <w:r>
        <w:rPr>
          <w:color w:val="auto"/>
          <w:highlight w:val="none"/>
        </w:rPr>
        <w:fldChar w:fldCharType="end"/>
      </w:r>
    </w:p>
    <w:p w14:paraId="48A8D32B">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"_Toc28442" </w:instrText>
      </w:r>
      <w:r>
        <w:rPr>
          <w:color w:val="auto"/>
          <w:highlight w:val="none"/>
        </w:rPr>
        <w:fldChar w:fldCharType="separate"/>
      </w:r>
      <w:r>
        <w:rPr>
          <w:rFonts w:hint="eastAsia"/>
          <w:color w:val="auto"/>
          <w:szCs w:val="30"/>
          <w:highlight w:val="none"/>
        </w:rPr>
        <w:t>（三）近年完成的类似项目情况表</w:t>
      </w:r>
      <w:r>
        <w:rPr>
          <w:color w:val="auto"/>
          <w:highlight w:val="none"/>
        </w:rPr>
        <w:tab/>
      </w:r>
      <w:r>
        <w:rPr>
          <w:color w:val="auto"/>
          <w:highlight w:val="none"/>
        </w:rPr>
        <w:fldChar w:fldCharType="begin"/>
      </w:r>
      <w:r>
        <w:rPr>
          <w:color w:val="auto"/>
          <w:highlight w:val="none"/>
        </w:rPr>
        <w:instrText xml:space="preserve"> PAGEREF _Toc28442 \h </w:instrText>
      </w:r>
      <w:r>
        <w:rPr>
          <w:color w:val="auto"/>
          <w:highlight w:val="none"/>
        </w:rPr>
        <w:fldChar w:fldCharType="separate"/>
      </w:r>
      <w:r>
        <w:rPr>
          <w:color w:val="auto"/>
          <w:highlight w:val="none"/>
        </w:rPr>
        <w:t>144</w:t>
      </w:r>
      <w:r>
        <w:rPr>
          <w:color w:val="auto"/>
          <w:highlight w:val="none"/>
        </w:rPr>
        <w:fldChar w:fldCharType="end"/>
      </w:r>
      <w:r>
        <w:rPr>
          <w:color w:val="auto"/>
          <w:highlight w:val="none"/>
        </w:rPr>
        <w:fldChar w:fldCharType="end"/>
      </w:r>
    </w:p>
    <w:p w14:paraId="1320A2E4">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"_Toc28742" </w:instrText>
      </w:r>
      <w:r>
        <w:rPr>
          <w:color w:val="auto"/>
          <w:highlight w:val="none"/>
        </w:rPr>
        <w:fldChar w:fldCharType="separate"/>
      </w:r>
      <w:r>
        <w:rPr>
          <w:rFonts w:hint="eastAsia"/>
          <w:color w:val="auto"/>
          <w:szCs w:val="30"/>
          <w:highlight w:val="none"/>
        </w:rPr>
        <w:t>（四）竞包人的信誉情况表</w:t>
      </w:r>
      <w:r>
        <w:rPr>
          <w:color w:val="auto"/>
          <w:highlight w:val="none"/>
        </w:rPr>
        <w:tab/>
      </w:r>
      <w:r>
        <w:rPr>
          <w:color w:val="auto"/>
          <w:highlight w:val="none"/>
        </w:rPr>
        <w:fldChar w:fldCharType="begin"/>
      </w:r>
      <w:r>
        <w:rPr>
          <w:color w:val="auto"/>
          <w:highlight w:val="none"/>
        </w:rPr>
        <w:instrText xml:space="preserve"> PAGEREF _Toc28742 \h </w:instrText>
      </w:r>
      <w:r>
        <w:rPr>
          <w:color w:val="auto"/>
          <w:highlight w:val="none"/>
        </w:rPr>
        <w:fldChar w:fldCharType="separate"/>
      </w:r>
      <w:r>
        <w:rPr>
          <w:color w:val="auto"/>
          <w:highlight w:val="none"/>
        </w:rPr>
        <w:t>145</w:t>
      </w:r>
      <w:r>
        <w:rPr>
          <w:color w:val="auto"/>
          <w:highlight w:val="none"/>
        </w:rPr>
        <w:fldChar w:fldCharType="end"/>
      </w:r>
      <w:r>
        <w:rPr>
          <w:color w:val="auto"/>
          <w:highlight w:val="none"/>
        </w:rPr>
        <w:fldChar w:fldCharType="end"/>
      </w:r>
    </w:p>
    <w:p w14:paraId="6DE7413F">
      <w:pPr>
        <w:pStyle w:val="13"/>
        <w:tabs>
          <w:tab w:val="right" w:leader="dot" w:pos="9189"/>
        </w:tabs>
        <w:spacing w:before="0" w:line="240" w:lineRule="exact"/>
        <w:ind w:left="0" w:leftChars="0"/>
        <w:rPr>
          <w:color w:val="auto"/>
          <w:highlight w:val="none"/>
        </w:rPr>
      </w:pPr>
      <w:r>
        <w:rPr>
          <w:color w:val="auto"/>
          <w:highlight w:val="none"/>
        </w:rPr>
        <w:fldChar w:fldCharType="begin"/>
      </w:r>
      <w:r>
        <w:rPr>
          <w:color w:val="auto"/>
          <w:highlight w:val="none"/>
        </w:rPr>
        <w:instrText xml:space="preserve"> HYPERLINK \l "_Toc2500" </w:instrText>
      </w:r>
      <w:r>
        <w:rPr>
          <w:color w:val="auto"/>
          <w:highlight w:val="none"/>
        </w:rPr>
        <w:fldChar w:fldCharType="separate"/>
      </w:r>
      <w:r>
        <w:rPr>
          <w:rFonts w:hint="eastAsia"/>
          <w:color w:val="auto"/>
          <w:szCs w:val="30"/>
          <w:highlight w:val="none"/>
        </w:rPr>
        <w:t>（五）拟委任的项目负责人资历表</w:t>
      </w:r>
      <w:r>
        <w:rPr>
          <w:color w:val="auto"/>
          <w:highlight w:val="none"/>
        </w:rPr>
        <w:tab/>
      </w:r>
      <w:r>
        <w:rPr>
          <w:color w:val="auto"/>
          <w:highlight w:val="none"/>
        </w:rPr>
        <w:fldChar w:fldCharType="begin"/>
      </w:r>
      <w:r>
        <w:rPr>
          <w:color w:val="auto"/>
          <w:highlight w:val="none"/>
        </w:rPr>
        <w:instrText xml:space="preserve"> PAGEREF _Toc2500 \h </w:instrText>
      </w:r>
      <w:r>
        <w:rPr>
          <w:color w:val="auto"/>
          <w:highlight w:val="none"/>
        </w:rPr>
        <w:fldChar w:fldCharType="separate"/>
      </w:r>
      <w:r>
        <w:rPr>
          <w:color w:val="auto"/>
          <w:highlight w:val="none"/>
        </w:rPr>
        <w:t>146</w:t>
      </w:r>
      <w:r>
        <w:rPr>
          <w:color w:val="auto"/>
          <w:highlight w:val="none"/>
        </w:rPr>
        <w:fldChar w:fldCharType="end"/>
      </w:r>
      <w:r>
        <w:rPr>
          <w:color w:val="auto"/>
          <w:highlight w:val="none"/>
        </w:rPr>
        <w:fldChar w:fldCharType="end"/>
      </w:r>
    </w:p>
    <w:p w14:paraId="4F24D7FE">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"_Toc16183" </w:instrText>
      </w:r>
      <w:r>
        <w:rPr>
          <w:color w:val="auto"/>
          <w:highlight w:val="none"/>
        </w:rPr>
        <w:fldChar w:fldCharType="separate"/>
      </w:r>
      <w:r>
        <w:rPr>
          <w:rFonts w:hint="eastAsia"/>
          <w:color w:val="auto"/>
          <w:szCs w:val="30"/>
          <w:highlight w:val="none"/>
        </w:rPr>
        <w:t>七</w:t>
      </w:r>
      <w:r>
        <w:rPr>
          <w:color w:val="auto"/>
          <w:szCs w:val="30"/>
          <w:highlight w:val="none"/>
        </w:rPr>
        <w:t>、承诺函</w:t>
      </w:r>
      <w:r>
        <w:rPr>
          <w:color w:val="auto"/>
          <w:highlight w:val="none"/>
        </w:rPr>
        <w:tab/>
      </w:r>
      <w:r>
        <w:rPr>
          <w:color w:val="auto"/>
          <w:highlight w:val="none"/>
        </w:rPr>
        <w:fldChar w:fldCharType="begin"/>
      </w:r>
      <w:r>
        <w:rPr>
          <w:color w:val="auto"/>
          <w:highlight w:val="none"/>
        </w:rPr>
        <w:instrText xml:space="preserve"> PAGEREF _Toc16183 \h </w:instrText>
      </w:r>
      <w:r>
        <w:rPr>
          <w:color w:val="auto"/>
          <w:highlight w:val="none"/>
        </w:rPr>
        <w:fldChar w:fldCharType="separate"/>
      </w:r>
      <w:r>
        <w:rPr>
          <w:color w:val="auto"/>
          <w:highlight w:val="none"/>
        </w:rPr>
        <w:t>148</w:t>
      </w:r>
      <w:r>
        <w:rPr>
          <w:color w:val="auto"/>
          <w:highlight w:val="none"/>
        </w:rPr>
        <w:fldChar w:fldCharType="end"/>
      </w:r>
      <w:r>
        <w:rPr>
          <w:color w:val="auto"/>
          <w:highlight w:val="none"/>
        </w:rPr>
        <w:fldChar w:fldCharType="end"/>
      </w:r>
    </w:p>
    <w:p w14:paraId="53316B83">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"_Toc20043" </w:instrText>
      </w:r>
      <w:r>
        <w:rPr>
          <w:color w:val="auto"/>
          <w:highlight w:val="none"/>
        </w:rPr>
        <w:fldChar w:fldCharType="separate"/>
      </w:r>
      <w:r>
        <w:rPr>
          <w:rFonts w:hint="eastAsia"/>
          <w:color w:val="auto"/>
          <w:szCs w:val="30"/>
          <w:highlight w:val="none"/>
        </w:rPr>
        <w:t>八、其他材料</w:t>
      </w:r>
      <w:r>
        <w:rPr>
          <w:color w:val="auto"/>
          <w:highlight w:val="none"/>
        </w:rPr>
        <w:tab/>
      </w:r>
      <w:r>
        <w:rPr>
          <w:color w:val="auto"/>
          <w:highlight w:val="none"/>
        </w:rPr>
        <w:fldChar w:fldCharType="begin"/>
      </w:r>
      <w:r>
        <w:rPr>
          <w:color w:val="auto"/>
          <w:highlight w:val="none"/>
        </w:rPr>
        <w:instrText xml:space="preserve"> PAGEREF _Toc20043 \h </w:instrText>
      </w:r>
      <w:r>
        <w:rPr>
          <w:color w:val="auto"/>
          <w:highlight w:val="none"/>
        </w:rPr>
        <w:fldChar w:fldCharType="separate"/>
      </w:r>
      <w:r>
        <w:rPr>
          <w:color w:val="auto"/>
          <w:highlight w:val="none"/>
        </w:rPr>
        <w:t>150</w:t>
      </w:r>
      <w:r>
        <w:rPr>
          <w:color w:val="auto"/>
          <w:highlight w:val="none"/>
        </w:rPr>
        <w:fldChar w:fldCharType="end"/>
      </w:r>
      <w:r>
        <w:rPr>
          <w:color w:val="auto"/>
          <w:highlight w:val="none"/>
        </w:rPr>
        <w:fldChar w:fldCharType="end"/>
      </w:r>
    </w:p>
    <w:p w14:paraId="0D607D54">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"_Toc13109" </w:instrText>
      </w:r>
      <w:r>
        <w:rPr>
          <w:color w:val="auto"/>
          <w:highlight w:val="none"/>
        </w:rPr>
        <w:fldChar w:fldCharType="separate"/>
      </w:r>
      <w:r>
        <w:rPr>
          <w:rFonts w:hint="eastAsia"/>
          <w:color w:val="auto"/>
          <w:szCs w:val="44"/>
          <w:highlight w:val="none"/>
        </w:rPr>
        <w:t>（技术文件）</w:t>
      </w:r>
      <w:r>
        <w:rPr>
          <w:color w:val="auto"/>
          <w:highlight w:val="none"/>
        </w:rPr>
        <w:tab/>
      </w:r>
      <w:r>
        <w:rPr>
          <w:color w:val="auto"/>
          <w:highlight w:val="none"/>
        </w:rPr>
        <w:fldChar w:fldCharType="begin"/>
      </w:r>
      <w:r>
        <w:rPr>
          <w:color w:val="auto"/>
          <w:highlight w:val="none"/>
        </w:rPr>
        <w:instrText xml:space="preserve"> PAGEREF _Toc13109 \h </w:instrText>
      </w:r>
      <w:r>
        <w:rPr>
          <w:color w:val="auto"/>
          <w:highlight w:val="none"/>
        </w:rPr>
        <w:fldChar w:fldCharType="separate"/>
      </w:r>
      <w:r>
        <w:rPr>
          <w:color w:val="auto"/>
          <w:highlight w:val="none"/>
        </w:rPr>
        <w:t>151</w:t>
      </w:r>
      <w:r>
        <w:rPr>
          <w:color w:val="auto"/>
          <w:highlight w:val="none"/>
        </w:rPr>
        <w:fldChar w:fldCharType="end"/>
      </w:r>
      <w:r>
        <w:rPr>
          <w:color w:val="auto"/>
          <w:highlight w:val="none"/>
        </w:rPr>
        <w:fldChar w:fldCharType="end"/>
      </w:r>
    </w:p>
    <w:p w14:paraId="56561D27">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"_Toc11440" </w:instrText>
      </w:r>
      <w:r>
        <w:rPr>
          <w:color w:val="auto"/>
          <w:highlight w:val="none"/>
        </w:rPr>
        <w:fldChar w:fldCharType="separate"/>
      </w:r>
      <w:r>
        <w:rPr>
          <w:rFonts w:hint="eastAsia"/>
          <w:color w:val="auto"/>
          <w:szCs w:val="30"/>
          <w:highlight w:val="none"/>
        </w:rPr>
        <w:t>目    录</w:t>
      </w:r>
      <w:r>
        <w:rPr>
          <w:color w:val="auto"/>
          <w:highlight w:val="none"/>
        </w:rPr>
        <w:tab/>
      </w:r>
      <w:r>
        <w:rPr>
          <w:color w:val="auto"/>
          <w:highlight w:val="none"/>
        </w:rPr>
        <w:fldChar w:fldCharType="begin"/>
      </w:r>
      <w:r>
        <w:rPr>
          <w:color w:val="auto"/>
          <w:highlight w:val="none"/>
        </w:rPr>
        <w:instrText xml:space="preserve"> PAGEREF _Toc11440 \h </w:instrText>
      </w:r>
      <w:r>
        <w:rPr>
          <w:color w:val="auto"/>
          <w:highlight w:val="none"/>
        </w:rPr>
        <w:fldChar w:fldCharType="separate"/>
      </w:r>
      <w:r>
        <w:rPr>
          <w:color w:val="auto"/>
          <w:highlight w:val="none"/>
        </w:rPr>
        <w:t>152</w:t>
      </w:r>
      <w:r>
        <w:rPr>
          <w:color w:val="auto"/>
          <w:highlight w:val="none"/>
        </w:rPr>
        <w:fldChar w:fldCharType="end"/>
      </w:r>
      <w:r>
        <w:rPr>
          <w:color w:val="auto"/>
          <w:highlight w:val="none"/>
        </w:rPr>
        <w:fldChar w:fldCharType="end"/>
      </w:r>
    </w:p>
    <w:p w14:paraId="3BCE0E44">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"_Toc27527" </w:instrText>
      </w:r>
      <w:r>
        <w:rPr>
          <w:color w:val="auto"/>
          <w:highlight w:val="none"/>
        </w:rPr>
        <w:fldChar w:fldCharType="separate"/>
      </w:r>
      <w:r>
        <w:rPr>
          <w:rFonts w:hint="eastAsia"/>
          <w:color w:val="auto"/>
          <w:szCs w:val="30"/>
          <w:highlight w:val="none"/>
        </w:rPr>
        <w:t>九</w:t>
      </w:r>
      <w:r>
        <w:rPr>
          <w:color w:val="auto"/>
          <w:szCs w:val="30"/>
          <w:highlight w:val="none"/>
        </w:rPr>
        <w:t>、</w:t>
      </w:r>
      <w:r>
        <w:rPr>
          <w:rFonts w:hint="eastAsia"/>
          <w:color w:val="auto"/>
          <w:szCs w:val="30"/>
          <w:highlight w:val="none"/>
        </w:rPr>
        <w:t>技术建议书</w:t>
      </w:r>
      <w:r>
        <w:rPr>
          <w:color w:val="auto"/>
          <w:highlight w:val="none"/>
        </w:rPr>
        <w:tab/>
      </w:r>
      <w:r>
        <w:rPr>
          <w:color w:val="auto"/>
          <w:highlight w:val="none"/>
        </w:rPr>
        <w:fldChar w:fldCharType="begin"/>
      </w:r>
      <w:r>
        <w:rPr>
          <w:color w:val="auto"/>
          <w:highlight w:val="none"/>
        </w:rPr>
        <w:instrText xml:space="preserve"> PAGEREF _Toc27527 \h </w:instrText>
      </w:r>
      <w:r>
        <w:rPr>
          <w:color w:val="auto"/>
          <w:highlight w:val="none"/>
        </w:rPr>
        <w:fldChar w:fldCharType="separate"/>
      </w:r>
      <w:r>
        <w:rPr>
          <w:color w:val="auto"/>
          <w:highlight w:val="none"/>
        </w:rPr>
        <w:t>153</w:t>
      </w:r>
      <w:r>
        <w:rPr>
          <w:color w:val="auto"/>
          <w:highlight w:val="none"/>
        </w:rPr>
        <w:fldChar w:fldCharType="end"/>
      </w:r>
      <w:r>
        <w:rPr>
          <w:color w:val="auto"/>
          <w:highlight w:val="none"/>
        </w:rPr>
        <w:fldChar w:fldCharType="end"/>
      </w:r>
    </w:p>
    <w:p w14:paraId="2BF3197F">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"_Toc348" </w:instrText>
      </w:r>
      <w:r>
        <w:rPr>
          <w:color w:val="auto"/>
          <w:highlight w:val="none"/>
        </w:rPr>
        <w:fldChar w:fldCharType="separate"/>
      </w:r>
      <w:r>
        <w:rPr>
          <w:rFonts w:hint="eastAsia"/>
          <w:color w:val="auto"/>
          <w:szCs w:val="44"/>
          <w:highlight w:val="none"/>
        </w:rPr>
        <w:t>（报价文件）</w:t>
      </w:r>
      <w:r>
        <w:rPr>
          <w:color w:val="auto"/>
          <w:highlight w:val="none"/>
        </w:rPr>
        <w:tab/>
      </w:r>
      <w:r>
        <w:rPr>
          <w:color w:val="auto"/>
          <w:highlight w:val="none"/>
        </w:rPr>
        <w:fldChar w:fldCharType="begin"/>
      </w:r>
      <w:r>
        <w:rPr>
          <w:color w:val="auto"/>
          <w:highlight w:val="none"/>
        </w:rPr>
        <w:instrText xml:space="preserve"> PAGEREF _Toc348 \h </w:instrText>
      </w:r>
      <w:r>
        <w:rPr>
          <w:color w:val="auto"/>
          <w:highlight w:val="none"/>
        </w:rPr>
        <w:fldChar w:fldCharType="separate"/>
      </w:r>
      <w:r>
        <w:rPr>
          <w:color w:val="auto"/>
          <w:highlight w:val="none"/>
        </w:rPr>
        <w:t>154</w:t>
      </w:r>
      <w:r>
        <w:rPr>
          <w:color w:val="auto"/>
          <w:highlight w:val="none"/>
        </w:rPr>
        <w:fldChar w:fldCharType="end"/>
      </w:r>
      <w:r>
        <w:rPr>
          <w:color w:val="auto"/>
          <w:highlight w:val="none"/>
        </w:rPr>
        <w:fldChar w:fldCharType="end"/>
      </w:r>
    </w:p>
    <w:p w14:paraId="0F77F55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"_Toc3136" </w:instrText>
      </w:r>
      <w:r>
        <w:rPr>
          <w:color w:val="auto"/>
          <w:highlight w:val="none"/>
        </w:rPr>
        <w:fldChar w:fldCharType="separate"/>
      </w:r>
      <w:r>
        <w:rPr>
          <w:rFonts w:hint="eastAsia"/>
          <w:color w:val="auto"/>
          <w:szCs w:val="30"/>
          <w:highlight w:val="none"/>
        </w:rPr>
        <w:t>目    录</w:t>
      </w:r>
      <w:r>
        <w:rPr>
          <w:color w:val="auto"/>
          <w:highlight w:val="none"/>
        </w:rPr>
        <w:tab/>
      </w:r>
      <w:r>
        <w:rPr>
          <w:color w:val="auto"/>
          <w:highlight w:val="none"/>
        </w:rPr>
        <w:fldChar w:fldCharType="begin"/>
      </w:r>
      <w:r>
        <w:rPr>
          <w:color w:val="auto"/>
          <w:highlight w:val="none"/>
        </w:rPr>
        <w:instrText xml:space="preserve"> PAGEREF _Toc3136 \h </w:instrText>
      </w:r>
      <w:r>
        <w:rPr>
          <w:color w:val="auto"/>
          <w:highlight w:val="none"/>
        </w:rPr>
        <w:fldChar w:fldCharType="separate"/>
      </w:r>
      <w:r>
        <w:rPr>
          <w:color w:val="auto"/>
          <w:highlight w:val="none"/>
        </w:rPr>
        <w:t>155</w:t>
      </w:r>
      <w:r>
        <w:rPr>
          <w:color w:val="auto"/>
          <w:highlight w:val="none"/>
        </w:rPr>
        <w:fldChar w:fldCharType="end"/>
      </w:r>
      <w:r>
        <w:rPr>
          <w:color w:val="auto"/>
          <w:highlight w:val="none"/>
        </w:rPr>
        <w:fldChar w:fldCharType="end"/>
      </w:r>
    </w:p>
    <w:p w14:paraId="37A8D4B0">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"_Toc31774" </w:instrText>
      </w:r>
      <w:r>
        <w:rPr>
          <w:color w:val="auto"/>
          <w:highlight w:val="none"/>
        </w:rPr>
        <w:fldChar w:fldCharType="separate"/>
      </w:r>
      <w:r>
        <w:rPr>
          <w:rFonts w:hint="eastAsia"/>
          <w:color w:val="auto"/>
          <w:szCs w:val="30"/>
          <w:highlight w:val="none"/>
        </w:rPr>
        <w:t>一、竞包函</w:t>
      </w:r>
      <w:r>
        <w:rPr>
          <w:color w:val="auto"/>
          <w:highlight w:val="none"/>
        </w:rPr>
        <w:tab/>
      </w:r>
      <w:r>
        <w:rPr>
          <w:color w:val="auto"/>
          <w:highlight w:val="none"/>
        </w:rPr>
        <w:fldChar w:fldCharType="begin"/>
      </w:r>
      <w:r>
        <w:rPr>
          <w:color w:val="auto"/>
          <w:highlight w:val="none"/>
        </w:rPr>
        <w:instrText xml:space="preserve"> PAGEREF _Toc31774 \h </w:instrText>
      </w:r>
      <w:r>
        <w:rPr>
          <w:color w:val="auto"/>
          <w:highlight w:val="none"/>
        </w:rPr>
        <w:fldChar w:fldCharType="separate"/>
      </w:r>
      <w:r>
        <w:rPr>
          <w:color w:val="auto"/>
          <w:highlight w:val="none"/>
        </w:rPr>
        <w:t>156</w:t>
      </w:r>
      <w:r>
        <w:rPr>
          <w:color w:val="auto"/>
          <w:highlight w:val="none"/>
        </w:rPr>
        <w:fldChar w:fldCharType="end"/>
      </w:r>
      <w:r>
        <w:rPr>
          <w:color w:val="auto"/>
          <w:highlight w:val="none"/>
        </w:rPr>
        <w:fldChar w:fldCharType="end"/>
      </w:r>
    </w:p>
    <w:p w14:paraId="3A923F09">
      <w:pPr>
        <w:pStyle w:val="27"/>
        <w:tabs>
          <w:tab w:val="right" w:leader="dot" w:pos="9189"/>
        </w:tabs>
        <w:spacing w:line="240" w:lineRule="exact"/>
        <w:ind w:left="0" w:leftChars="0"/>
        <w:rPr>
          <w:color w:val="auto"/>
          <w:highlight w:val="none"/>
        </w:rPr>
      </w:pPr>
      <w:r>
        <w:rPr>
          <w:color w:val="auto"/>
          <w:highlight w:val="none"/>
        </w:rPr>
        <w:fldChar w:fldCharType="begin"/>
      </w:r>
      <w:r>
        <w:rPr>
          <w:color w:val="auto"/>
          <w:highlight w:val="none"/>
        </w:rPr>
        <w:instrText xml:space="preserve"> HYPERLINK \l "_Toc22995" </w:instrText>
      </w:r>
      <w:r>
        <w:rPr>
          <w:color w:val="auto"/>
          <w:highlight w:val="none"/>
        </w:rPr>
        <w:fldChar w:fldCharType="separate"/>
      </w:r>
      <w:r>
        <w:rPr>
          <w:rFonts w:hint="eastAsia"/>
          <w:color w:val="auto"/>
          <w:szCs w:val="30"/>
          <w:highlight w:val="none"/>
        </w:rPr>
        <w:t>二、设计费用清单</w:t>
      </w:r>
      <w:r>
        <w:rPr>
          <w:color w:val="auto"/>
          <w:highlight w:val="none"/>
        </w:rPr>
        <w:tab/>
      </w:r>
      <w:r>
        <w:rPr>
          <w:color w:val="auto"/>
          <w:highlight w:val="none"/>
        </w:rPr>
        <w:fldChar w:fldCharType="begin"/>
      </w:r>
      <w:r>
        <w:rPr>
          <w:color w:val="auto"/>
          <w:highlight w:val="none"/>
        </w:rPr>
        <w:instrText xml:space="preserve"> PAGEREF _Toc22995 \h </w:instrText>
      </w:r>
      <w:r>
        <w:rPr>
          <w:color w:val="auto"/>
          <w:highlight w:val="none"/>
        </w:rPr>
        <w:fldChar w:fldCharType="separate"/>
      </w:r>
      <w:r>
        <w:rPr>
          <w:color w:val="auto"/>
          <w:highlight w:val="none"/>
        </w:rPr>
        <w:t>157</w:t>
      </w:r>
      <w:r>
        <w:rPr>
          <w:color w:val="auto"/>
          <w:highlight w:val="none"/>
        </w:rPr>
        <w:fldChar w:fldCharType="end"/>
      </w:r>
      <w:r>
        <w:rPr>
          <w:color w:val="auto"/>
          <w:highlight w:val="none"/>
        </w:rPr>
        <w:fldChar w:fldCharType="end"/>
      </w:r>
    </w:p>
    <w:p w14:paraId="11D5A23D">
      <w:pPr>
        <w:pStyle w:val="13"/>
        <w:tabs>
          <w:tab w:val="right" w:leader="dot" w:pos="9498"/>
          <w:tab w:val="right" w:leader="dot" w:pos="9736"/>
        </w:tabs>
        <w:autoSpaceDE/>
        <w:autoSpaceDN/>
        <w:spacing w:before="0" w:line="320" w:lineRule="exact"/>
        <w:ind w:left="1526"/>
        <w:jc w:val="distribute"/>
        <w:rPr>
          <w:rFonts w:ascii="宋体" w:hAnsi="宋体"/>
          <w:color w:val="auto"/>
          <w:szCs w:val="21"/>
          <w:highlight w:val="none"/>
        </w:rPr>
      </w:pPr>
      <w:r>
        <w:rPr>
          <w:rFonts w:ascii="宋体" w:hAnsi="宋体"/>
          <w:color w:val="auto"/>
          <w:highlight w:val="none"/>
        </w:rPr>
        <w:fldChar w:fldCharType="end"/>
      </w:r>
      <w:bookmarkStart w:id="3" w:name="_Toc264615306"/>
      <w:bookmarkStart w:id="4" w:name="_Toc246904316"/>
    </w:p>
    <w:p w14:paraId="3A384B8A">
      <w:pPr>
        <w:pStyle w:val="14"/>
        <w:autoSpaceDE/>
        <w:autoSpaceDN/>
        <w:spacing w:before="0" w:line="320" w:lineRule="exact"/>
        <w:jc w:val="center"/>
        <w:rPr>
          <w:rFonts w:ascii="宋体" w:hAnsi="宋体"/>
          <w:color w:val="auto"/>
          <w:szCs w:val="21"/>
          <w:highlight w:val="none"/>
        </w:rPr>
        <w:sectPr>
          <w:headerReference r:id="rId10" w:type="default"/>
          <w:footerReference r:id="rId11" w:type="default"/>
          <w:footerReference r:id="rId12" w:type="even"/>
          <w:footnotePr>
            <w:numFmt w:val="decimalEnclosedCircleChinese"/>
            <w:numRestart w:val="eachPage"/>
          </w:footnotePr>
          <w:pgSz w:w="11911" w:h="16849"/>
          <w:pgMar w:top="1417" w:right="1361" w:bottom="1417" w:left="1361" w:header="850" w:footer="907" w:gutter="0"/>
          <w:pgNumType w:start="1"/>
          <w:cols w:space="720" w:num="1"/>
        </w:sectPr>
      </w:pPr>
    </w:p>
    <w:p w14:paraId="72210879">
      <w:pPr>
        <w:pStyle w:val="14"/>
        <w:jc w:val="center"/>
        <w:rPr>
          <w:rFonts w:ascii="宋体" w:hAnsi="宋体"/>
          <w:color w:val="auto"/>
          <w:szCs w:val="21"/>
          <w:highlight w:val="none"/>
        </w:rPr>
      </w:pPr>
    </w:p>
    <w:p w14:paraId="1D2B07B4">
      <w:pPr>
        <w:pStyle w:val="14"/>
        <w:jc w:val="center"/>
        <w:rPr>
          <w:rFonts w:ascii="宋体" w:hAnsi="宋体"/>
          <w:color w:val="auto"/>
          <w:szCs w:val="21"/>
          <w:highlight w:val="none"/>
        </w:rPr>
      </w:pPr>
    </w:p>
    <w:p w14:paraId="09D8D4AC">
      <w:pPr>
        <w:pStyle w:val="14"/>
        <w:jc w:val="center"/>
        <w:rPr>
          <w:rFonts w:ascii="宋体" w:hAnsi="宋体"/>
          <w:color w:val="auto"/>
          <w:szCs w:val="21"/>
          <w:highlight w:val="none"/>
        </w:rPr>
      </w:pPr>
      <w:bookmarkStart w:id="1085" w:name="_GoBack"/>
      <w:bookmarkEnd w:id="1085"/>
    </w:p>
    <w:p w14:paraId="39B52512">
      <w:pPr>
        <w:pStyle w:val="14"/>
        <w:jc w:val="center"/>
        <w:rPr>
          <w:rFonts w:ascii="宋体" w:hAnsi="宋体"/>
          <w:color w:val="auto"/>
          <w:szCs w:val="21"/>
          <w:highlight w:val="none"/>
        </w:rPr>
      </w:pPr>
    </w:p>
    <w:p w14:paraId="43F6D0D6">
      <w:pPr>
        <w:pStyle w:val="14"/>
        <w:jc w:val="center"/>
        <w:rPr>
          <w:rFonts w:ascii="宋体" w:hAnsi="宋体"/>
          <w:color w:val="auto"/>
          <w:szCs w:val="21"/>
          <w:highlight w:val="none"/>
        </w:rPr>
      </w:pPr>
    </w:p>
    <w:p w14:paraId="2BA12220">
      <w:pPr>
        <w:pStyle w:val="14"/>
        <w:jc w:val="center"/>
        <w:rPr>
          <w:rFonts w:ascii="宋体" w:hAnsi="宋体"/>
          <w:color w:val="auto"/>
          <w:szCs w:val="21"/>
          <w:highlight w:val="none"/>
        </w:rPr>
      </w:pPr>
    </w:p>
    <w:p w14:paraId="7C9B5A0D">
      <w:pPr>
        <w:pStyle w:val="14"/>
        <w:jc w:val="center"/>
        <w:rPr>
          <w:rFonts w:ascii="宋体" w:hAnsi="宋体"/>
          <w:color w:val="auto"/>
          <w:szCs w:val="21"/>
          <w:highlight w:val="none"/>
        </w:rPr>
      </w:pPr>
    </w:p>
    <w:p w14:paraId="4CF37625">
      <w:pPr>
        <w:pStyle w:val="14"/>
        <w:jc w:val="center"/>
        <w:rPr>
          <w:rFonts w:ascii="宋体" w:hAnsi="宋体"/>
          <w:color w:val="auto"/>
          <w:szCs w:val="21"/>
          <w:highlight w:val="none"/>
        </w:rPr>
      </w:pPr>
    </w:p>
    <w:p w14:paraId="5012F4CC">
      <w:pPr>
        <w:pStyle w:val="14"/>
        <w:jc w:val="center"/>
        <w:rPr>
          <w:rFonts w:ascii="宋体" w:hAnsi="宋体"/>
          <w:color w:val="auto"/>
          <w:szCs w:val="21"/>
          <w:highlight w:val="none"/>
        </w:rPr>
      </w:pPr>
    </w:p>
    <w:p w14:paraId="2E88246C">
      <w:pPr>
        <w:pStyle w:val="14"/>
        <w:jc w:val="center"/>
        <w:rPr>
          <w:rFonts w:ascii="宋体" w:hAnsi="宋体"/>
          <w:color w:val="auto"/>
          <w:szCs w:val="21"/>
          <w:highlight w:val="none"/>
        </w:rPr>
      </w:pPr>
    </w:p>
    <w:p w14:paraId="2A924230">
      <w:pPr>
        <w:pStyle w:val="14"/>
        <w:jc w:val="center"/>
        <w:rPr>
          <w:rFonts w:ascii="宋体" w:hAnsi="宋体"/>
          <w:color w:val="auto"/>
          <w:szCs w:val="21"/>
          <w:highlight w:val="none"/>
        </w:rPr>
      </w:pPr>
    </w:p>
    <w:p w14:paraId="40D11502">
      <w:pPr>
        <w:pStyle w:val="14"/>
        <w:jc w:val="center"/>
        <w:rPr>
          <w:rFonts w:ascii="宋体" w:hAnsi="宋体"/>
          <w:color w:val="auto"/>
          <w:szCs w:val="21"/>
          <w:highlight w:val="none"/>
        </w:rPr>
      </w:pPr>
    </w:p>
    <w:p w14:paraId="52C318B8">
      <w:pPr>
        <w:pStyle w:val="3"/>
        <w:jc w:val="center"/>
        <w:rPr>
          <w:rFonts w:ascii="宋体" w:hAnsi="宋体"/>
          <w:color w:val="auto"/>
          <w:highlight w:val="none"/>
        </w:rPr>
      </w:pPr>
      <w:bookmarkStart w:id="5" w:name="_Toc8776"/>
      <w:bookmarkStart w:id="6" w:name="_Toc22116"/>
      <w:r>
        <w:rPr>
          <w:rFonts w:hint="eastAsia" w:ascii="宋体" w:hAnsi="宋体"/>
          <w:b w:val="0"/>
          <w:bCs w:val="0"/>
          <w:color w:val="auto"/>
          <w:sz w:val="52"/>
          <w:szCs w:val="52"/>
          <w:highlight w:val="none"/>
        </w:rPr>
        <w:t xml:space="preserve">第一章 </w:t>
      </w:r>
      <w:bookmarkStart w:id="7" w:name="_Toc6836"/>
      <w:r>
        <w:rPr>
          <w:rFonts w:hint="eastAsia" w:ascii="宋体" w:hAnsi="宋体"/>
          <w:b w:val="0"/>
          <w:bCs w:val="0"/>
          <w:color w:val="auto"/>
          <w:sz w:val="52"/>
          <w:szCs w:val="52"/>
          <w:highlight w:val="none"/>
        </w:rPr>
        <w:t>发包公告</w:t>
      </w:r>
      <w:r>
        <w:rPr>
          <w:rFonts w:hint="eastAsia" w:ascii="宋体" w:hAnsi="宋体"/>
          <w:color w:val="auto"/>
          <w:sz w:val="21"/>
          <w:szCs w:val="21"/>
          <w:highlight w:val="none"/>
        </w:rPr>
        <w:br w:type="page"/>
      </w:r>
      <w:bookmarkStart w:id="8" w:name="_Toc5421"/>
      <w:bookmarkStart w:id="9" w:name="_Toc16618"/>
      <w:bookmarkStart w:id="10" w:name="_Toc3102"/>
      <w:r>
        <w:rPr>
          <w:rFonts w:hint="eastAsia" w:ascii="宋体" w:hAnsi="宋体"/>
          <w:color w:val="auto"/>
          <w:sz w:val="44"/>
          <w:szCs w:val="44"/>
          <w:highlight w:val="none"/>
        </w:rPr>
        <w:t>第一章  发包公告</w:t>
      </w:r>
      <w:bookmarkEnd w:id="3"/>
      <w:bookmarkEnd w:id="4"/>
      <w:bookmarkEnd w:id="5"/>
      <w:bookmarkEnd w:id="6"/>
      <w:bookmarkEnd w:id="7"/>
      <w:bookmarkEnd w:id="8"/>
      <w:bookmarkEnd w:id="9"/>
      <w:bookmarkEnd w:id="10"/>
      <w:bookmarkStart w:id="11" w:name="OLE_LINK5"/>
      <w:bookmarkStart w:id="12" w:name="OLE_LINK3"/>
    </w:p>
    <w:p w14:paraId="0D99D472">
      <w:pPr>
        <w:pStyle w:val="3"/>
        <w:jc w:val="center"/>
        <w:rPr>
          <w:rFonts w:ascii="宋体" w:hAnsi="宋体"/>
          <w:color w:val="auto"/>
          <w:highlight w:val="none"/>
        </w:rPr>
      </w:pPr>
      <w:bookmarkStart w:id="13" w:name="_Toc23051"/>
      <w:r>
        <w:rPr>
          <w:rFonts w:hint="eastAsia" w:ascii="宋体" w:hAnsi="宋体"/>
          <w:color w:val="auto"/>
          <w:highlight w:val="none"/>
        </w:rPr>
        <w:t>甬金高速出入口建设工程设计发包公告</w:t>
      </w:r>
      <w:bookmarkEnd w:id="13"/>
    </w:p>
    <w:p w14:paraId="3C94EC80">
      <w:pPr>
        <w:pStyle w:val="4"/>
        <w:adjustRightInd w:val="0"/>
        <w:snapToGrid w:val="0"/>
        <w:spacing w:before="0" w:after="0" w:line="360" w:lineRule="auto"/>
        <w:rPr>
          <w:rFonts w:ascii="宋体" w:hAnsi="宋体" w:cs="宋体"/>
          <w:color w:val="auto"/>
          <w:sz w:val="24"/>
          <w:szCs w:val="24"/>
          <w:highlight w:val="none"/>
        </w:rPr>
      </w:pPr>
      <w:bookmarkStart w:id="14" w:name="_Toc15994"/>
      <w:bookmarkStart w:id="15" w:name="_Toc9148"/>
      <w:bookmarkStart w:id="16" w:name="_Toc12802"/>
      <w:r>
        <w:rPr>
          <w:rFonts w:hint="eastAsia" w:ascii="宋体" w:hAnsi="宋体" w:cs="宋体"/>
          <w:color w:val="auto"/>
          <w:sz w:val="24"/>
          <w:szCs w:val="24"/>
          <w:highlight w:val="none"/>
        </w:rPr>
        <w:t>1．发包条件</w:t>
      </w:r>
      <w:bookmarkEnd w:id="14"/>
      <w:bookmarkEnd w:id="15"/>
      <w:bookmarkEnd w:id="16"/>
    </w:p>
    <w:p w14:paraId="195EF6BA">
      <w:pPr>
        <w:spacing w:line="360" w:lineRule="auto"/>
        <w:ind w:firstLine="420" w:firstLineChars="200"/>
        <w:rPr>
          <w:snapToGrid w:val="0"/>
          <w:color w:val="auto"/>
          <w:highlight w:val="none"/>
        </w:rPr>
      </w:pPr>
      <w:r>
        <w:rPr>
          <w:rFonts w:hint="eastAsia"/>
          <w:snapToGrid w:val="0"/>
          <w:color w:val="auto"/>
          <w:highlight w:val="none"/>
        </w:rPr>
        <w:t>本发包项目</w:t>
      </w:r>
      <w:r>
        <w:rPr>
          <w:rFonts w:hint="eastAsia"/>
          <w:snapToGrid w:val="0"/>
          <w:color w:val="auto"/>
          <w:highlight w:val="none"/>
          <w:u w:val="single"/>
        </w:rPr>
        <w:t>甬金高速出入口建设工程</w:t>
      </w:r>
      <w:r>
        <w:rPr>
          <w:rFonts w:hint="eastAsia"/>
          <w:snapToGrid w:val="0"/>
          <w:color w:val="auto"/>
          <w:highlight w:val="none"/>
        </w:rPr>
        <w:t>（项目名称）已由</w:t>
      </w:r>
      <w:r>
        <w:rPr>
          <w:rFonts w:hint="eastAsia"/>
          <w:snapToGrid w:val="0"/>
          <w:color w:val="auto"/>
          <w:highlight w:val="none"/>
          <w:u w:val="single"/>
        </w:rPr>
        <w:t>嵊州市发展和改革局</w:t>
      </w:r>
      <w:r>
        <w:rPr>
          <w:rFonts w:hint="eastAsia"/>
          <w:snapToGrid w:val="0"/>
          <w:color w:val="auto"/>
          <w:highlight w:val="none"/>
        </w:rPr>
        <w:t>（项目审批、核准或备案机关名称）以</w:t>
      </w:r>
      <w:r>
        <w:rPr>
          <w:strike w:val="0"/>
          <w:snapToGrid w:val="0"/>
          <w:color w:val="auto"/>
          <w:highlight w:val="none"/>
          <w:u w:val="single"/>
        </w:rPr>
        <w:t xml:space="preserve"> 2610-330683-04-01-963188</w:t>
      </w:r>
      <w:r>
        <w:rPr>
          <w:rFonts w:hint="eastAsia"/>
          <w:snapToGrid w:val="0"/>
          <w:color w:val="auto"/>
          <w:highlight w:val="none"/>
        </w:rPr>
        <w:t>（批文名称及编号）批准建设。项目业主为</w:t>
      </w:r>
      <w:r>
        <w:rPr>
          <w:rFonts w:hint="eastAsia"/>
          <w:snapToGrid w:val="0"/>
          <w:color w:val="auto"/>
          <w:highlight w:val="none"/>
          <w:u w:val="single"/>
        </w:rPr>
        <w:t>嵊州市交通投资发展集团有限公司</w:t>
      </w:r>
      <w:r>
        <w:rPr>
          <w:rFonts w:hint="eastAsia"/>
          <w:snapToGrid w:val="0"/>
          <w:color w:val="auto"/>
          <w:highlight w:val="none"/>
        </w:rPr>
        <w:t>，建设资金来自</w:t>
      </w:r>
      <w:r>
        <w:rPr>
          <w:rFonts w:hint="eastAsia"/>
          <w:snapToGrid w:val="0"/>
          <w:color w:val="auto"/>
          <w:highlight w:val="none"/>
          <w:u w:val="single"/>
        </w:rPr>
        <w:t>自有资金</w:t>
      </w:r>
      <w:r>
        <w:rPr>
          <w:rFonts w:hint="eastAsia"/>
          <w:snapToGrid w:val="0"/>
          <w:color w:val="auto"/>
          <w:highlight w:val="none"/>
        </w:rPr>
        <w:t>，出资比例为</w:t>
      </w:r>
      <w:r>
        <w:rPr>
          <w:rFonts w:hint="eastAsia"/>
          <w:snapToGrid w:val="0"/>
          <w:color w:val="auto"/>
          <w:highlight w:val="none"/>
          <w:u w:val="single"/>
        </w:rPr>
        <w:t>100%</w:t>
      </w:r>
      <w:r>
        <w:rPr>
          <w:rFonts w:hint="eastAsia"/>
          <w:snapToGrid w:val="0"/>
          <w:color w:val="auto"/>
          <w:highlight w:val="none"/>
        </w:rPr>
        <w:t>。发包人为</w:t>
      </w:r>
      <w:r>
        <w:rPr>
          <w:rFonts w:hint="eastAsia"/>
          <w:snapToGrid w:val="0"/>
          <w:color w:val="auto"/>
          <w:highlight w:val="none"/>
          <w:u w:val="single"/>
        </w:rPr>
        <w:t>嵊州市交通投资发展集团有限公司</w:t>
      </w:r>
      <w:r>
        <w:rPr>
          <w:rFonts w:hint="eastAsia"/>
          <w:snapToGrid w:val="0"/>
          <w:color w:val="auto"/>
          <w:highlight w:val="none"/>
        </w:rPr>
        <w:t>。项目已基本具备发包条件，现对甬金高速出入口建设工程设计进行公开发包，实行资格后审。</w:t>
      </w:r>
    </w:p>
    <w:p w14:paraId="51793A5D">
      <w:pPr>
        <w:pStyle w:val="4"/>
        <w:adjustRightInd w:val="0"/>
        <w:snapToGrid w:val="0"/>
        <w:spacing w:before="0" w:after="0" w:line="360" w:lineRule="auto"/>
        <w:rPr>
          <w:rFonts w:ascii="宋体" w:hAnsi="宋体" w:cs="宋体"/>
          <w:color w:val="auto"/>
          <w:sz w:val="24"/>
          <w:szCs w:val="24"/>
          <w:highlight w:val="none"/>
        </w:rPr>
      </w:pPr>
      <w:bookmarkStart w:id="17" w:name="_Toc5150"/>
      <w:bookmarkStart w:id="18" w:name="_Toc28559"/>
      <w:bookmarkStart w:id="19" w:name="_Toc32270"/>
      <w:r>
        <w:rPr>
          <w:rFonts w:hint="eastAsia" w:ascii="宋体" w:hAnsi="宋体" w:cs="宋体"/>
          <w:color w:val="auto"/>
          <w:sz w:val="24"/>
          <w:szCs w:val="24"/>
          <w:highlight w:val="none"/>
        </w:rPr>
        <w:t>2．项目概况与发包范围</w:t>
      </w:r>
      <w:bookmarkEnd w:id="17"/>
      <w:bookmarkEnd w:id="18"/>
      <w:bookmarkEnd w:id="19"/>
    </w:p>
    <w:p w14:paraId="5B66DD22">
      <w:pPr>
        <w:spacing w:line="360" w:lineRule="exact"/>
        <w:ind w:firstLine="420" w:firstLineChars="200"/>
        <w:rPr>
          <w:snapToGrid w:val="0"/>
          <w:color w:val="auto"/>
          <w:highlight w:val="none"/>
        </w:rPr>
      </w:pPr>
      <w:r>
        <w:rPr>
          <w:rFonts w:hint="eastAsia"/>
          <w:snapToGrid w:val="0"/>
          <w:color w:val="auto"/>
          <w:highlight w:val="none"/>
        </w:rPr>
        <w:t>2.1 项目概况：</w:t>
      </w:r>
      <w:r>
        <w:rPr>
          <w:rFonts w:hint="eastAsia"/>
          <w:snapToGrid w:val="0"/>
          <w:color w:val="auto"/>
          <w:highlight w:val="none"/>
          <w:u w:val="single"/>
        </w:rPr>
        <w:t>按照甬金高速公路改扩建工程的建设计划，黄泽、甘霖、长乐互通连接线将采用双向4车道一级公路标准进行拓宽。三个互通连接线的拓宽，虽只占用了两侧绿化景观的部分区域，但破坏了绿化景观的整体格局和形象。为维护高速互通城市门户的良好形象，经前期协商，计划对拓宽后的三个互通连接线两侧的绿化景观、沿线配套设施整体进行重建改造。实施方案建议如下：1.黄泽、甘霖、长乐互通连接线两侧受拓宽影响的绿化景观重建改造；2.长乐互通连接线不进行拓宽的剩余600米（即福兴路至嵊义线段）两侧绿化景观、路面面层、波形护栏等相关配套设施改造；3.黄泽、甘霖、长乐互通连接线两侧的路灯杆、交通信号杆、监控杆、交通标志杆等整合改造。</w:t>
      </w:r>
    </w:p>
    <w:p w14:paraId="5F0AC9FB">
      <w:pPr>
        <w:spacing w:line="360" w:lineRule="exact"/>
        <w:ind w:firstLine="420" w:firstLineChars="200"/>
        <w:rPr>
          <w:snapToGrid w:val="0"/>
          <w:color w:val="auto"/>
          <w:highlight w:val="none"/>
        </w:rPr>
      </w:pPr>
      <w:r>
        <w:rPr>
          <w:rFonts w:hint="eastAsia"/>
          <w:snapToGrid w:val="0"/>
          <w:color w:val="auto"/>
          <w:highlight w:val="none"/>
        </w:rPr>
        <w:t>2.2 发包范围及标段划分：本次设计发包设1个标段，发包范围包括：</w:t>
      </w:r>
      <w:r>
        <w:rPr>
          <w:rFonts w:hint="eastAsia"/>
          <w:snapToGrid w:val="0"/>
          <w:color w:val="auto"/>
          <w:highlight w:val="none"/>
          <w:u w:val="single"/>
        </w:rPr>
        <w:t>黄泽、甘霖、长乐互通连接线设计红线范围内的绿化景观、土方造型、波形护栏、交通信号杆、路灯等相关配套设施的方案设计、初步设计、施工图设计、概算文件编制、后期服务。</w:t>
      </w:r>
    </w:p>
    <w:p w14:paraId="2687ABF1">
      <w:pPr>
        <w:spacing w:line="360" w:lineRule="exact"/>
        <w:ind w:firstLine="420" w:firstLineChars="200"/>
        <w:rPr>
          <w:snapToGrid w:val="0"/>
          <w:color w:val="auto"/>
          <w:highlight w:val="none"/>
        </w:rPr>
      </w:pPr>
      <w:r>
        <w:rPr>
          <w:rFonts w:hint="eastAsia"/>
          <w:snapToGrid w:val="0"/>
          <w:color w:val="auto"/>
          <w:highlight w:val="none"/>
        </w:rPr>
        <w:t>2.3 设计服务周期：</w:t>
      </w:r>
      <w:r>
        <w:rPr>
          <w:rFonts w:hint="eastAsia"/>
          <w:snapToGrid w:val="0"/>
          <w:color w:val="auto"/>
          <w:highlight w:val="none"/>
          <w:u w:val="single"/>
        </w:rPr>
        <w:t>设计服务期约1095日历天</w:t>
      </w:r>
      <w:r>
        <w:rPr>
          <w:rFonts w:hint="eastAsia"/>
          <w:snapToGrid w:val="0"/>
          <w:color w:val="auto"/>
          <w:highlight w:val="none"/>
        </w:rPr>
        <w:t>。其中：</w:t>
      </w:r>
    </w:p>
    <w:p w14:paraId="159389BE">
      <w:pPr>
        <w:spacing w:line="360" w:lineRule="exact"/>
        <w:ind w:firstLine="420" w:firstLineChars="200"/>
        <w:rPr>
          <w:snapToGrid w:val="0"/>
          <w:color w:val="auto"/>
          <w:highlight w:val="none"/>
        </w:rPr>
      </w:pPr>
      <w:r>
        <w:rPr>
          <w:rFonts w:hint="eastAsia"/>
          <w:snapToGrid w:val="0"/>
          <w:color w:val="auto"/>
          <w:highlight w:val="none"/>
        </w:rPr>
        <w:t>（1）合同签订后5日内，编制总体设计大纲，并报发包人批准；</w:t>
      </w:r>
    </w:p>
    <w:p w14:paraId="75CDD532">
      <w:pPr>
        <w:spacing w:line="360" w:lineRule="exact"/>
        <w:ind w:firstLine="420" w:firstLineChars="200"/>
        <w:rPr>
          <w:snapToGrid w:val="0"/>
          <w:color w:val="auto"/>
          <w:highlight w:val="none"/>
        </w:rPr>
      </w:pPr>
      <w:r>
        <w:rPr>
          <w:rFonts w:hint="eastAsia"/>
          <w:snapToGrid w:val="0"/>
          <w:color w:val="auto"/>
          <w:highlight w:val="none"/>
        </w:rPr>
        <w:t>（2）合同签订后30天内，提交初步设计文件送审稿；</w:t>
      </w:r>
    </w:p>
    <w:p w14:paraId="39EA183C">
      <w:pPr>
        <w:spacing w:line="360" w:lineRule="exact"/>
        <w:ind w:firstLine="420" w:firstLineChars="200"/>
        <w:rPr>
          <w:snapToGrid w:val="0"/>
          <w:color w:val="auto"/>
          <w:highlight w:val="none"/>
        </w:rPr>
      </w:pPr>
      <w:r>
        <w:rPr>
          <w:rFonts w:hint="eastAsia"/>
          <w:snapToGrid w:val="0"/>
          <w:color w:val="auto"/>
          <w:highlight w:val="none"/>
        </w:rPr>
        <w:t>（3）初步设计文件审查后15天内，提交主体土建工程施工图设计文件送审稿；</w:t>
      </w:r>
    </w:p>
    <w:p w14:paraId="6A4E4095">
      <w:pPr>
        <w:spacing w:line="360" w:lineRule="exact"/>
        <w:ind w:firstLine="420" w:firstLineChars="200"/>
        <w:rPr>
          <w:snapToGrid w:val="0"/>
          <w:color w:val="auto"/>
          <w:highlight w:val="none"/>
        </w:rPr>
      </w:pPr>
      <w:r>
        <w:rPr>
          <w:rFonts w:hint="eastAsia"/>
          <w:snapToGrid w:val="0"/>
          <w:color w:val="auto"/>
          <w:highlight w:val="none"/>
        </w:rPr>
        <w:t>（4）收到设计咨询单位、发包人和上级主管部门审查意见后，15天内对各设计文件进行修改完善，提交初步设计文件、施工图设计文件报批稿；</w:t>
      </w:r>
    </w:p>
    <w:p w14:paraId="2B915FAA">
      <w:pPr>
        <w:spacing w:line="360" w:lineRule="exact"/>
        <w:ind w:firstLine="420" w:firstLineChars="200"/>
        <w:rPr>
          <w:snapToGrid w:val="0"/>
          <w:color w:val="auto"/>
          <w:highlight w:val="none"/>
        </w:rPr>
      </w:pPr>
      <w:r>
        <w:rPr>
          <w:rFonts w:hint="eastAsia"/>
          <w:snapToGrid w:val="0"/>
          <w:color w:val="auto"/>
          <w:highlight w:val="none"/>
        </w:rPr>
        <w:t>（5）根据发包人项目施工招标工作进度的需要，提交开展施工招标工作所需的图纸和工程量清单、参考资料、施工项目专用技术规范等招标资料；</w:t>
      </w:r>
    </w:p>
    <w:p w14:paraId="77821AED">
      <w:pPr>
        <w:spacing w:line="360" w:lineRule="exact"/>
        <w:ind w:firstLine="420" w:firstLineChars="200"/>
        <w:rPr>
          <w:snapToGrid w:val="0"/>
          <w:color w:val="auto"/>
          <w:highlight w:val="none"/>
        </w:rPr>
      </w:pPr>
      <w:r>
        <w:rPr>
          <w:rFonts w:hint="eastAsia"/>
          <w:snapToGrid w:val="0"/>
          <w:color w:val="auto"/>
          <w:highlight w:val="none"/>
        </w:rPr>
        <w:t>（6）施工现场配合服务：从项目开工至项目竣工验收，施工期暂定9个月，缺陷责任期24个月。</w:t>
      </w:r>
    </w:p>
    <w:p w14:paraId="20204E60">
      <w:pPr>
        <w:spacing w:line="360" w:lineRule="exact"/>
        <w:ind w:firstLine="420" w:firstLineChars="200"/>
        <w:rPr>
          <w:snapToGrid w:val="0"/>
          <w:color w:val="auto"/>
          <w:highlight w:val="none"/>
        </w:rPr>
      </w:pPr>
      <w:r>
        <w:rPr>
          <w:rFonts w:hint="eastAsia"/>
          <w:snapToGrid w:val="0"/>
          <w:color w:val="auto"/>
          <w:highlight w:val="none"/>
        </w:rPr>
        <w:t>设计人应向发包人提交最终成果的书面计算书各一份，设计文件的电子版（图纸采用PDF格式，文字报告采用WORD格式，同时设计人还应按发包人要求分阶段提供各个标段施工招标用PDF电子版图纸）各一份。设计人应按照发出的技术联系单更新施工图设计，并在工程交工时，提供全套的变更施工图设计文件等。</w:t>
      </w:r>
    </w:p>
    <w:p w14:paraId="02392837">
      <w:pPr>
        <w:spacing w:line="360" w:lineRule="exact"/>
        <w:ind w:firstLine="420" w:firstLineChars="200"/>
        <w:rPr>
          <w:snapToGrid w:val="0"/>
          <w:color w:val="auto"/>
          <w:highlight w:val="none"/>
        </w:rPr>
      </w:pPr>
      <w:r>
        <w:rPr>
          <w:rFonts w:hint="eastAsia"/>
          <w:snapToGrid w:val="0"/>
          <w:color w:val="auto"/>
          <w:highlight w:val="none"/>
        </w:rPr>
        <w:t>2.4 是否属于政府采购工程: □是  ☑否</w:t>
      </w:r>
    </w:p>
    <w:p w14:paraId="74CEED1F">
      <w:pPr>
        <w:spacing w:line="360" w:lineRule="exact"/>
        <w:ind w:firstLine="420" w:firstLineChars="200"/>
        <w:rPr>
          <w:snapToGrid w:val="0"/>
          <w:color w:val="auto"/>
          <w:highlight w:val="none"/>
        </w:rPr>
      </w:pPr>
      <w:r>
        <w:rPr>
          <w:rFonts w:hint="eastAsia"/>
          <w:snapToGrid w:val="0"/>
          <w:color w:val="auto"/>
          <w:highlight w:val="none"/>
        </w:rPr>
        <w:t>2.5 是否专门面向中小企业预留:□是  ☑否 （本项目非政府采购工程，故不专门面向中小企业）</w:t>
      </w:r>
    </w:p>
    <w:p w14:paraId="102B0810">
      <w:pPr>
        <w:pStyle w:val="4"/>
        <w:adjustRightInd w:val="0"/>
        <w:snapToGrid w:val="0"/>
        <w:spacing w:before="0" w:after="0" w:line="360" w:lineRule="auto"/>
        <w:rPr>
          <w:rFonts w:ascii="宋体" w:hAnsi="宋体" w:cs="宋体"/>
          <w:color w:val="auto"/>
          <w:sz w:val="24"/>
          <w:szCs w:val="24"/>
          <w:highlight w:val="none"/>
        </w:rPr>
      </w:pPr>
      <w:bookmarkStart w:id="20" w:name="_Toc27638"/>
      <w:bookmarkStart w:id="21" w:name="_Toc1469"/>
      <w:bookmarkStart w:id="22" w:name="_Toc22141"/>
      <w:r>
        <w:rPr>
          <w:rFonts w:hint="eastAsia" w:ascii="宋体" w:hAnsi="宋体" w:cs="宋体"/>
          <w:color w:val="auto"/>
          <w:sz w:val="24"/>
          <w:szCs w:val="24"/>
          <w:highlight w:val="none"/>
        </w:rPr>
        <w:t>3．竞包人资格要求</w:t>
      </w:r>
      <w:bookmarkEnd w:id="20"/>
      <w:bookmarkEnd w:id="21"/>
      <w:bookmarkEnd w:id="22"/>
    </w:p>
    <w:p w14:paraId="34042C18">
      <w:pPr>
        <w:spacing w:line="360" w:lineRule="auto"/>
        <w:ind w:firstLine="420" w:firstLineChars="200"/>
        <w:rPr>
          <w:snapToGrid w:val="0"/>
          <w:color w:val="auto"/>
          <w:highlight w:val="none"/>
        </w:rPr>
      </w:pPr>
      <w:r>
        <w:rPr>
          <w:rFonts w:hint="eastAsia"/>
          <w:snapToGrid w:val="0"/>
          <w:color w:val="auto"/>
          <w:highlight w:val="none"/>
        </w:rPr>
        <w:t>3.1 本次发包要求竞包人须具备⑴、⑵或（3）资质：(1)工程设计综合甲级资质;(2)工程设计公路行业甲级</w:t>
      </w:r>
      <w:r>
        <w:rPr>
          <w:rFonts w:hint="eastAsia" w:ascii="宋体" w:hAnsi="宋体"/>
          <w:color w:val="auto"/>
          <w:szCs w:val="21"/>
          <w:highlight w:val="none"/>
        </w:rPr>
        <w:t>及风景园林工程设计专项甲级资质</w:t>
      </w:r>
      <w:r>
        <w:rPr>
          <w:rFonts w:hint="eastAsia"/>
          <w:snapToGrid w:val="0"/>
          <w:color w:val="auto"/>
          <w:highlight w:val="none"/>
        </w:rPr>
        <w:t>；（3）工程设计公路行业(公路)专业甲级及风景园林工程设计专项甲级资质，满足竞包人须知前附表附录2业绩，并在人员等方面具有相应的勘察设计能力。</w:t>
      </w:r>
    </w:p>
    <w:p w14:paraId="273DA7A9">
      <w:pPr>
        <w:spacing w:line="360" w:lineRule="auto"/>
        <w:ind w:firstLine="420" w:firstLineChars="200"/>
        <w:rPr>
          <w:snapToGrid w:val="0"/>
          <w:color w:val="auto"/>
          <w:highlight w:val="none"/>
        </w:rPr>
      </w:pPr>
      <w:r>
        <w:rPr>
          <w:rFonts w:hint="eastAsia"/>
          <w:snapToGrid w:val="0"/>
          <w:color w:val="auto"/>
          <w:highlight w:val="none"/>
        </w:rPr>
        <w:t>☑竞包人应进入交通运输部“全国公路建设市场监督管理系统（https://hwdms.mot.gov.cn/BMWebSite/）”中的公路工程设计资质企业名录，且竞包人名称和资质与该名录中的相应企业名称和资质完全一致。</w:t>
      </w:r>
    </w:p>
    <w:p w14:paraId="5323D6BF">
      <w:pPr>
        <w:spacing w:line="360" w:lineRule="auto"/>
        <w:ind w:firstLine="420" w:firstLineChars="200"/>
        <w:rPr>
          <w:snapToGrid w:val="0"/>
          <w:color w:val="auto"/>
          <w:highlight w:val="none"/>
        </w:rPr>
      </w:pPr>
      <w:r>
        <w:rPr>
          <w:rFonts w:hint="eastAsia"/>
          <w:snapToGrid w:val="0"/>
          <w:color w:val="auto"/>
          <w:highlight w:val="none"/>
        </w:rPr>
        <w:t>3.2 本次发包不接受联合体竞包。</w:t>
      </w:r>
    </w:p>
    <w:p w14:paraId="66630AAB">
      <w:pPr>
        <w:spacing w:line="360" w:lineRule="auto"/>
        <w:ind w:firstLine="420" w:firstLineChars="200"/>
        <w:rPr>
          <w:snapToGrid w:val="0"/>
          <w:color w:val="auto"/>
          <w:highlight w:val="none"/>
        </w:rPr>
      </w:pPr>
      <w:r>
        <w:rPr>
          <w:rFonts w:hint="eastAsia"/>
          <w:snapToGrid w:val="0"/>
          <w:color w:val="auto"/>
          <w:highlight w:val="none"/>
        </w:rPr>
        <w:t>☑3.3 每个竞包人最多可对1（具体数量）个标段竞包；每个竞包人允许中1个标。</w:t>
      </w:r>
    </w:p>
    <w:p w14:paraId="4AA53577">
      <w:pPr>
        <w:spacing w:line="360" w:lineRule="auto"/>
        <w:ind w:firstLine="420" w:firstLineChars="200"/>
        <w:rPr>
          <w:snapToGrid w:val="0"/>
          <w:color w:val="auto"/>
          <w:highlight w:val="none"/>
        </w:rPr>
      </w:pPr>
      <w:r>
        <w:rPr>
          <w:rFonts w:hint="eastAsia"/>
          <w:snapToGrid w:val="0"/>
          <w:color w:val="auto"/>
          <w:highlight w:val="none"/>
        </w:rPr>
        <w:t>3.4 与发包人存在利害关系可能影响发包公正性的单位，不得参加竞包。单位负责人为同一人或者存在控股（含法定代表人控股）、管理关系的不同单位，不得参加同一标段的竞包（组成同一联合体参与竞包的除外），否则，相关竞包均无效。</w:t>
      </w:r>
    </w:p>
    <w:p w14:paraId="0A114E24">
      <w:pPr>
        <w:spacing w:line="360" w:lineRule="auto"/>
        <w:ind w:firstLine="420" w:firstLineChars="200"/>
        <w:rPr>
          <w:snapToGrid w:val="0"/>
          <w:color w:val="auto"/>
          <w:highlight w:val="none"/>
        </w:rPr>
      </w:pPr>
      <w:r>
        <w:rPr>
          <w:rFonts w:hint="eastAsia"/>
          <w:snapToGrid w:val="0"/>
          <w:color w:val="auto"/>
          <w:highlight w:val="none"/>
        </w:rPr>
        <w:t>3.5 在“信用中国”网站（http://www.creditchina.gov.cn）中被列入失信被执行人名单的竞包人，不得参加竞包。</w:t>
      </w:r>
    </w:p>
    <w:p w14:paraId="0A55D38E">
      <w:pPr>
        <w:spacing w:line="360" w:lineRule="auto"/>
        <w:ind w:firstLine="420" w:firstLineChars="200"/>
        <w:rPr>
          <w:snapToGrid w:val="0"/>
          <w:color w:val="auto"/>
          <w:highlight w:val="none"/>
        </w:rPr>
      </w:pPr>
      <w:r>
        <w:rPr>
          <w:rFonts w:hint="eastAsia"/>
          <w:snapToGrid w:val="0"/>
          <w:color w:val="auto"/>
          <w:highlight w:val="none"/>
        </w:rPr>
        <w:t>3.6其他要求：在国家企业信用信息公示系统（http://www.gsxt.gov.cn/）中被列入严重违法失信企业名单的竞包人，不得参加竞包。</w:t>
      </w:r>
    </w:p>
    <w:p w14:paraId="53FBA54F">
      <w:pPr>
        <w:pStyle w:val="4"/>
        <w:adjustRightInd w:val="0"/>
        <w:snapToGrid w:val="0"/>
        <w:spacing w:before="0" w:after="0" w:line="360" w:lineRule="auto"/>
        <w:rPr>
          <w:rFonts w:ascii="宋体" w:hAnsi="宋体" w:cs="宋体"/>
          <w:color w:val="auto"/>
          <w:sz w:val="24"/>
          <w:szCs w:val="24"/>
          <w:highlight w:val="none"/>
        </w:rPr>
      </w:pPr>
      <w:bookmarkStart w:id="23" w:name="_Toc19374"/>
      <w:bookmarkStart w:id="24" w:name="_Toc30041"/>
      <w:bookmarkStart w:id="25" w:name="_Toc22429"/>
      <w:r>
        <w:rPr>
          <w:rFonts w:hint="eastAsia" w:ascii="宋体" w:hAnsi="宋体" w:cs="宋体"/>
          <w:color w:val="auto"/>
          <w:sz w:val="24"/>
          <w:szCs w:val="24"/>
          <w:highlight w:val="none"/>
        </w:rPr>
        <w:t>4．技术成果经济补偿</w:t>
      </w:r>
      <w:bookmarkEnd w:id="23"/>
      <w:bookmarkEnd w:id="24"/>
      <w:bookmarkEnd w:id="25"/>
    </w:p>
    <w:p w14:paraId="1A5068C0">
      <w:pPr>
        <w:spacing w:line="360" w:lineRule="auto"/>
        <w:ind w:firstLine="420" w:firstLineChars="200"/>
        <w:rPr>
          <w:snapToGrid w:val="0"/>
          <w:color w:val="auto"/>
          <w:highlight w:val="none"/>
        </w:rPr>
      </w:pPr>
      <w:r>
        <w:rPr>
          <w:rFonts w:hint="eastAsia"/>
          <w:snapToGrid w:val="0"/>
          <w:color w:val="auto"/>
          <w:highlight w:val="none"/>
        </w:rPr>
        <w:t>本次发包对未中包人竞包文件中的技术成果</w:t>
      </w:r>
      <w:r>
        <w:rPr>
          <w:rFonts w:hint="eastAsia"/>
          <w:snapToGrid w:val="0"/>
          <w:color w:val="auto"/>
          <w:highlight w:val="none"/>
          <w:u w:val="single"/>
        </w:rPr>
        <w:t>不给予</w:t>
      </w:r>
      <w:r>
        <w:rPr>
          <w:rFonts w:hint="eastAsia"/>
          <w:snapToGrid w:val="0"/>
          <w:color w:val="auto"/>
          <w:highlight w:val="none"/>
        </w:rPr>
        <w:t>经济补偿。</w:t>
      </w:r>
      <w:bookmarkStart w:id="26" w:name="_Toc17436"/>
      <w:bookmarkStart w:id="27" w:name="_Toc12973"/>
      <w:bookmarkStart w:id="28" w:name="_Toc4749"/>
    </w:p>
    <w:p w14:paraId="2F619079">
      <w:pPr>
        <w:numPr>
          <w:ilvl w:val="0"/>
          <w:numId w:val="1"/>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发包文件的获取</w:t>
      </w:r>
      <w:bookmarkEnd w:id="26"/>
      <w:bookmarkStart w:id="29" w:name="_Toc2216"/>
      <w:bookmarkStart w:id="30" w:name="_Toc3569"/>
      <w:bookmarkStart w:id="31" w:name="_Toc32253"/>
    </w:p>
    <w:p w14:paraId="6721552B">
      <w:pPr>
        <w:spacing w:line="360" w:lineRule="auto"/>
        <w:ind w:firstLine="420" w:firstLineChars="200"/>
        <w:rPr>
          <w:snapToGrid w:val="0"/>
          <w:color w:val="auto"/>
          <w:highlight w:val="none"/>
        </w:rPr>
      </w:pPr>
      <w:r>
        <w:rPr>
          <w:rFonts w:hint="eastAsia"/>
          <w:snapToGrid w:val="0"/>
          <w:color w:val="auto"/>
          <w:highlight w:val="none"/>
        </w:rPr>
        <w:t>5.1 本项目发包文件和补充（答疑、澄清）、修改文件以网上下载方式发放。</w:t>
      </w:r>
    </w:p>
    <w:p w14:paraId="6354321D">
      <w:pPr>
        <w:spacing w:line="360" w:lineRule="auto"/>
        <w:ind w:firstLine="420" w:firstLineChars="200"/>
        <w:rPr>
          <w:snapToGrid w:val="0"/>
          <w:color w:val="auto"/>
          <w:highlight w:val="none"/>
        </w:rPr>
      </w:pPr>
      <w:r>
        <w:rPr>
          <w:rFonts w:hint="eastAsia"/>
          <w:snapToGrid w:val="0"/>
          <w:color w:val="auto"/>
          <w:highlight w:val="none"/>
        </w:rPr>
        <w:t>5.2 报名时间、发包文件下载时间从发布公告之时起至竞包截止日止。</w:t>
      </w:r>
    </w:p>
    <w:p w14:paraId="37F2A6CC">
      <w:pPr>
        <w:spacing w:line="360" w:lineRule="auto"/>
        <w:ind w:firstLine="420" w:firstLineChars="200"/>
        <w:rPr>
          <w:snapToGrid w:val="0"/>
          <w:color w:val="auto"/>
          <w:highlight w:val="none"/>
        </w:rPr>
      </w:pPr>
      <w:r>
        <w:rPr>
          <w:rFonts w:hint="eastAsia"/>
          <w:snapToGrid w:val="0"/>
          <w:color w:val="auto"/>
          <w:highlight w:val="none"/>
        </w:rPr>
        <w:t>5.3 潜在投标人须凭本企业适用于嵊州市公共资源交易中心的 CA 数字证书登录“嵊州市公共资源电子交易系统”，在对应的公告下方自行下载招标文件，投标人须填写相关信息，未填写相关信息的，竞包文件不予接受。参加多个标段投标的投标人必须分别下载相应标段的招标文件，并对每个标段单独递交竞包文件。</w:t>
      </w:r>
    </w:p>
    <w:p w14:paraId="431D762E">
      <w:pPr>
        <w:spacing w:line="360" w:lineRule="auto"/>
        <w:ind w:firstLine="420" w:firstLineChars="200"/>
        <w:rPr>
          <w:snapToGrid w:val="0"/>
          <w:color w:val="auto"/>
          <w:highlight w:val="none"/>
        </w:rPr>
      </w:pPr>
      <w:r>
        <w:rPr>
          <w:rFonts w:hint="eastAsia"/>
          <w:snapToGrid w:val="0"/>
          <w:color w:val="auto"/>
          <w:highlight w:val="none"/>
        </w:rPr>
        <w:t>5.4 未取得嵊州市公共资源交易中心 CA 数字证书的潜在投标人，应先办理交易主体注册手续，取得嵊州市公共资源交易中心 CA 数字证书。</w:t>
      </w:r>
    </w:p>
    <w:p w14:paraId="19D67CF6">
      <w:pPr>
        <w:pStyle w:val="4"/>
        <w:adjustRightInd w:val="0"/>
        <w:snapToGrid w:val="0"/>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6.竞包保证金</w:t>
      </w:r>
      <w:bookmarkEnd w:id="29"/>
      <w:bookmarkEnd w:id="30"/>
      <w:bookmarkEnd w:id="31"/>
      <w:bookmarkStart w:id="32" w:name="_Toc26893"/>
    </w:p>
    <w:p w14:paraId="2F0A7BA7">
      <w:pPr>
        <w:spacing w:line="440" w:lineRule="exact"/>
        <w:ind w:firstLine="420" w:firstLineChars="200"/>
        <w:rPr>
          <w:rFonts w:ascii="宋体" w:hAnsi="宋体"/>
          <w:snapToGrid w:val="0"/>
          <w:color w:val="auto"/>
          <w:highlight w:val="none"/>
        </w:rPr>
      </w:pPr>
      <w:r>
        <w:rPr>
          <w:rFonts w:hint="eastAsia" w:ascii="宋体" w:hAnsi="宋体"/>
          <w:snapToGrid w:val="0"/>
          <w:color w:val="auto"/>
          <w:highlight w:val="none"/>
        </w:rPr>
        <w:t>本项目无须递交竞包保证金。</w:t>
      </w:r>
      <w:bookmarkEnd w:id="32"/>
    </w:p>
    <w:p w14:paraId="6F41CFC9">
      <w:pPr>
        <w:pStyle w:val="4"/>
        <w:adjustRightInd w:val="0"/>
        <w:snapToGrid w:val="0"/>
        <w:spacing w:before="0" w:after="0" w:line="360" w:lineRule="auto"/>
        <w:rPr>
          <w:rFonts w:ascii="宋体" w:hAnsi="宋体" w:cs="宋体"/>
          <w:color w:val="auto"/>
          <w:sz w:val="24"/>
          <w:szCs w:val="24"/>
          <w:highlight w:val="none"/>
        </w:rPr>
      </w:pPr>
      <w:bookmarkStart w:id="33" w:name="_Toc31790"/>
      <w:r>
        <w:rPr>
          <w:rFonts w:hint="eastAsia" w:ascii="宋体" w:hAnsi="宋体" w:cs="宋体"/>
          <w:color w:val="auto"/>
          <w:sz w:val="24"/>
          <w:szCs w:val="24"/>
          <w:highlight w:val="none"/>
        </w:rPr>
        <w:t>7.竞包文件的递交</w:t>
      </w:r>
      <w:bookmarkEnd w:id="33"/>
    </w:p>
    <w:p w14:paraId="338B1C32">
      <w:pPr>
        <w:spacing w:line="360" w:lineRule="auto"/>
        <w:ind w:firstLine="420" w:firstLineChars="200"/>
        <w:rPr>
          <w:color w:val="auto"/>
          <w:szCs w:val="21"/>
          <w:highlight w:val="none"/>
        </w:rPr>
      </w:pPr>
      <w:r>
        <w:rPr>
          <w:rFonts w:hint="eastAsia" w:ascii="宋体" w:hAnsi="宋体"/>
          <w:color w:val="auto"/>
          <w:szCs w:val="21"/>
          <w:highlight w:val="none"/>
        </w:rPr>
        <w:t>☑</w:t>
      </w:r>
      <w:r>
        <w:rPr>
          <w:rFonts w:hint="eastAsia"/>
          <w:color w:val="auto"/>
          <w:szCs w:val="21"/>
          <w:highlight w:val="none"/>
        </w:rPr>
        <w:t>7</w:t>
      </w:r>
      <w:r>
        <w:rPr>
          <w:color w:val="auto"/>
          <w:szCs w:val="21"/>
          <w:highlight w:val="none"/>
        </w:rPr>
        <w:t xml:space="preserve">.1 </w:t>
      </w:r>
      <w:r>
        <w:rPr>
          <w:rFonts w:hint="eastAsia"/>
          <w:color w:val="auto"/>
          <w:szCs w:val="21"/>
          <w:highlight w:val="none"/>
        </w:rPr>
        <w:t>发包人不组织工程现场踏勘，不召开竞包预备会。</w:t>
      </w:r>
    </w:p>
    <w:p w14:paraId="39617119">
      <w:pPr>
        <w:spacing w:line="360" w:lineRule="auto"/>
        <w:ind w:firstLine="420" w:firstLineChars="200"/>
        <w:rPr>
          <w:snapToGrid w:val="0"/>
          <w:color w:val="auto"/>
          <w:highlight w:val="none"/>
        </w:rPr>
      </w:pPr>
      <w:r>
        <w:rPr>
          <w:rFonts w:hint="eastAsia"/>
          <w:snapToGrid w:val="0"/>
          <w:color w:val="auto"/>
          <w:highlight w:val="none"/>
        </w:rPr>
        <w:t>7</w:t>
      </w:r>
      <w:r>
        <w:rPr>
          <w:snapToGrid w:val="0"/>
          <w:color w:val="auto"/>
          <w:highlight w:val="none"/>
        </w:rPr>
        <w:t xml:space="preserve">.2 </w:t>
      </w:r>
      <w:r>
        <w:rPr>
          <w:rFonts w:hint="eastAsia"/>
          <w:snapToGrid w:val="0"/>
          <w:color w:val="auto"/>
          <w:highlight w:val="none"/>
        </w:rPr>
        <w:t>竞包文件递交的截止时间（投标截止时间，下同）为2026年</w:t>
      </w:r>
      <w:r>
        <w:rPr>
          <w:rFonts w:hint="eastAsia"/>
          <w:snapToGrid w:val="0"/>
          <w:color w:val="auto"/>
          <w:highlight w:val="none"/>
          <w:lang w:val="en-US" w:eastAsia="zh-CN"/>
        </w:rPr>
        <w:t>11</w:t>
      </w:r>
      <w:r>
        <w:rPr>
          <w:rFonts w:hint="eastAsia"/>
          <w:snapToGrid w:val="0"/>
          <w:color w:val="auto"/>
          <w:highlight w:val="none"/>
        </w:rPr>
        <w:t>月</w:t>
      </w:r>
      <w:r>
        <w:rPr>
          <w:rFonts w:hint="eastAsia"/>
          <w:snapToGrid w:val="0"/>
          <w:color w:val="auto"/>
          <w:highlight w:val="none"/>
          <w:lang w:val="en-US" w:eastAsia="zh-CN"/>
        </w:rPr>
        <w:t>11</w:t>
      </w:r>
      <w:r>
        <w:rPr>
          <w:rFonts w:hint="eastAsia"/>
          <w:snapToGrid w:val="0"/>
          <w:color w:val="auto"/>
          <w:highlight w:val="none"/>
        </w:rPr>
        <w:t>日9时</w:t>
      </w:r>
      <w:r>
        <w:rPr>
          <w:rFonts w:hint="eastAsia"/>
          <w:snapToGrid w:val="0"/>
          <w:color w:val="auto"/>
          <w:highlight w:val="none"/>
          <w:lang w:val="en-US" w:eastAsia="zh-CN"/>
        </w:rPr>
        <w:t>3</w:t>
      </w:r>
      <w:r>
        <w:rPr>
          <w:rFonts w:hint="eastAsia"/>
          <w:snapToGrid w:val="0"/>
          <w:color w:val="auto"/>
          <w:highlight w:val="none"/>
        </w:rPr>
        <w:t>0分（北京时间，下同）。</w:t>
      </w:r>
    </w:p>
    <w:p w14:paraId="4F67BF42">
      <w:pPr>
        <w:spacing w:line="360" w:lineRule="auto"/>
        <w:ind w:firstLine="420" w:firstLineChars="200"/>
        <w:rPr>
          <w:rFonts w:ascii="宋体" w:hAnsi="宋体"/>
          <w:snapToGrid w:val="0"/>
          <w:color w:val="auto"/>
          <w:highlight w:val="none"/>
        </w:rPr>
      </w:pPr>
      <w:r>
        <w:rPr>
          <w:rFonts w:hint="eastAsia"/>
          <w:snapToGrid w:val="0"/>
          <w:color w:val="auto"/>
          <w:highlight w:val="none"/>
        </w:rPr>
        <w:t>7.3 竞包文件递交方式：投标人可采用现场递交的方式，由招标人及招标代理机构安排专人于2026年</w:t>
      </w:r>
      <w:r>
        <w:rPr>
          <w:rFonts w:hint="eastAsia"/>
          <w:snapToGrid w:val="0"/>
          <w:color w:val="auto"/>
          <w:highlight w:val="none"/>
          <w:lang w:val="en-US" w:eastAsia="zh-CN"/>
        </w:rPr>
        <w:t>11</w:t>
      </w:r>
      <w:r>
        <w:rPr>
          <w:rFonts w:hint="eastAsia"/>
          <w:snapToGrid w:val="0"/>
          <w:color w:val="auto"/>
          <w:highlight w:val="none"/>
        </w:rPr>
        <w:t>月</w:t>
      </w:r>
      <w:r>
        <w:rPr>
          <w:rFonts w:hint="eastAsia"/>
          <w:snapToGrid w:val="0"/>
          <w:color w:val="auto"/>
          <w:highlight w:val="none"/>
          <w:lang w:val="en-US" w:eastAsia="zh-CN"/>
        </w:rPr>
        <w:t>11</w:t>
      </w:r>
      <w:r>
        <w:rPr>
          <w:rFonts w:hint="eastAsia"/>
          <w:snapToGrid w:val="0"/>
          <w:color w:val="auto"/>
          <w:highlight w:val="none"/>
        </w:rPr>
        <w:t>日</w:t>
      </w:r>
      <w:r>
        <w:rPr>
          <w:rFonts w:hint="eastAsia"/>
          <w:snapToGrid w:val="0"/>
          <w:color w:val="auto"/>
          <w:highlight w:val="none"/>
          <w:lang w:val="en-US" w:eastAsia="zh-CN"/>
        </w:rPr>
        <w:t>9</w:t>
      </w:r>
      <w:r>
        <w:rPr>
          <w:rFonts w:hint="eastAsia"/>
          <w:snapToGrid w:val="0"/>
          <w:color w:val="auto"/>
          <w:highlight w:val="none"/>
        </w:rPr>
        <w:t xml:space="preserve"> 时</w:t>
      </w:r>
      <w:r>
        <w:rPr>
          <w:rFonts w:hint="eastAsia"/>
          <w:snapToGrid w:val="0"/>
          <w:color w:val="auto"/>
          <w:highlight w:val="none"/>
          <w:lang w:val="en-US" w:eastAsia="zh-CN"/>
        </w:rPr>
        <w:t>0</w:t>
      </w:r>
      <w:r>
        <w:rPr>
          <w:rFonts w:hint="eastAsia"/>
          <w:snapToGrid w:val="0"/>
          <w:color w:val="auto"/>
          <w:highlight w:val="none"/>
        </w:rPr>
        <w:t>0分~ 9 时</w:t>
      </w:r>
      <w:r>
        <w:rPr>
          <w:rFonts w:hint="eastAsia"/>
          <w:snapToGrid w:val="0"/>
          <w:color w:val="auto"/>
          <w:highlight w:val="none"/>
          <w:lang w:val="en-US" w:eastAsia="zh-CN"/>
        </w:rPr>
        <w:t>3</w:t>
      </w:r>
      <w:r>
        <w:rPr>
          <w:rFonts w:hint="eastAsia"/>
          <w:snapToGrid w:val="0"/>
          <w:color w:val="auto"/>
          <w:highlight w:val="none"/>
        </w:rPr>
        <w:t>0分负责竞包文件接收，地点：嵊州市官河南路699号（嵊州市国际会展中心）北楼三楼（嵊州市公共资源交易中心）开标室</w:t>
      </w:r>
      <w:r>
        <w:rPr>
          <w:rFonts w:hint="eastAsia"/>
          <w:snapToGrid w:val="0"/>
          <w:color w:val="auto"/>
          <w:highlight w:val="none"/>
          <w:lang w:val="en-US" w:eastAsia="zh-CN"/>
        </w:rPr>
        <w:t>1</w:t>
      </w:r>
      <w:r>
        <w:rPr>
          <w:rFonts w:hint="eastAsia"/>
          <w:snapToGrid w:val="0"/>
          <w:color w:val="auto"/>
          <w:highlight w:val="none"/>
        </w:rPr>
        <w:t>，逾期送达的或者未送达指定地点的竞包文件，招标人不予受理</w:t>
      </w:r>
      <w:r>
        <w:rPr>
          <w:rFonts w:hint="eastAsia" w:ascii="宋体" w:hAnsi="宋体"/>
          <w:snapToGrid w:val="0"/>
          <w:color w:val="auto"/>
          <w:highlight w:val="none"/>
        </w:rPr>
        <w:t>。</w:t>
      </w:r>
    </w:p>
    <w:p w14:paraId="6A8C6C61">
      <w:pPr>
        <w:pStyle w:val="4"/>
        <w:adjustRightInd w:val="0"/>
        <w:snapToGrid w:val="0"/>
        <w:spacing w:before="0"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8</w:t>
      </w:r>
      <w:bookmarkStart w:id="34" w:name="_Toc10887"/>
      <w:r>
        <w:rPr>
          <w:rFonts w:hint="eastAsia" w:ascii="宋体" w:hAnsi="宋体" w:cs="宋体"/>
          <w:color w:val="auto"/>
          <w:sz w:val="24"/>
          <w:szCs w:val="24"/>
          <w:highlight w:val="none"/>
        </w:rPr>
        <w:t>. 发布公告的媒介</w:t>
      </w:r>
      <w:bookmarkEnd w:id="34"/>
    </w:p>
    <w:p w14:paraId="312EFEB7">
      <w:pPr>
        <w:spacing w:line="400" w:lineRule="exact"/>
        <w:ind w:firstLine="420" w:firstLineChars="200"/>
        <w:rPr>
          <w:color w:val="auto"/>
          <w:szCs w:val="21"/>
          <w:highlight w:val="none"/>
        </w:rPr>
      </w:pPr>
      <w:r>
        <w:rPr>
          <w:rFonts w:hint="eastAsia" w:ascii="宋体" w:hAnsi="宋体" w:cs="宋体"/>
          <w:color w:val="auto"/>
          <w:szCs w:val="21"/>
          <w:highlight w:val="none"/>
        </w:rPr>
        <w:t>本次发包公告在</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rPr>
        <w:t xml:space="preserve">嵊州市人民政府门户网站公共资源交易平台 </w:t>
      </w:r>
      <w:r>
        <w:rPr>
          <w:rFonts w:hint="eastAsia" w:ascii="宋体" w:hAnsi="宋体" w:cs="宋体"/>
          <w:color w:val="auto"/>
          <w:szCs w:val="21"/>
          <w:highlight w:val="none"/>
        </w:rPr>
        <w:t>上发布。</w:t>
      </w:r>
    </w:p>
    <w:p w14:paraId="1A550FBD">
      <w:pPr>
        <w:pStyle w:val="3"/>
        <w:spacing w:line="360" w:lineRule="auto"/>
        <w:rPr>
          <w:rFonts w:ascii="Times New Roman" w:hAnsi="Times New Roman"/>
          <w:b w:val="0"/>
          <w:color w:val="auto"/>
          <w:szCs w:val="24"/>
          <w:highlight w:val="none"/>
        </w:rPr>
      </w:pPr>
      <w:bookmarkStart w:id="35" w:name="_Toc31289"/>
      <w:r>
        <w:rPr>
          <w:rFonts w:hint="eastAsia" w:ascii="宋体" w:hAnsi="宋体" w:cs="宋体"/>
          <w:color w:val="auto"/>
          <w:sz w:val="24"/>
          <w:szCs w:val="24"/>
          <w:highlight w:val="none"/>
        </w:rPr>
        <w:t>9. 监管机构</w:t>
      </w:r>
      <w:bookmarkEnd w:id="35"/>
    </w:p>
    <w:p w14:paraId="31FAFC80">
      <w:pPr>
        <w:pStyle w:val="14"/>
        <w:spacing w:line="400" w:lineRule="exact"/>
        <w:ind w:left="0" w:right="-50" w:rightChars="-24" w:firstLine="0"/>
        <w:rPr>
          <w:rFonts w:ascii="宋体" w:hAnsi="宋体"/>
          <w:color w:val="auto"/>
          <w:highlight w:val="none"/>
        </w:rPr>
      </w:pPr>
      <w:bookmarkStart w:id="36" w:name="_Toc1310"/>
      <w:r>
        <w:rPr>
          <w:rFonts w:hint="eastAsia" w:ascii="宋体" w:hAnsi="宋体"/>
          <w:color w:val="auto"/>
          <w:highlight w:val="none"/>
        </w:rPr>
        <w:t>监督部门：</w:t>
      </w:r>
      <w:r>
        <w:rPr>
          <w:rFonts w:hint="eastAsia" w:ascii="Segoe UI Symbol" w:hAnsi="Segoe UI Symbol" w:cs="Segoe UI Symbol"/>
          <w:color w:val="auto"/>
          <w:szCs w:val="21"/>
          <w:highlight w:val="none"/>
          <w:u w:val="single"/>
        </w:rPr>
        <w:t xml:space="preserve"> 嵊州市交通运输局    </w:t>
      </w:r>
    </w:p>
    <w:p w14:paraId="2D7F4E39">
      <w:pPr>
        <w:pStyle w:val="14"/>
        <w:spacing w:line="400" w:lineRule="exact"/>
        <w:ind w:left="0" w:right="-50" w:rightChars="-24" w:firstLine="0"/>
        <w:rPr>
          <w:rFonts w:ascii="宋体" w:hAnsi="宋体"/>
          <w:color w:val="auto"/>
          <w:highlight w:val="none"/>
        </w:rPr>
      </w:pPr>
      <w:r>
        <w:rPr>
          <w:rFonts w:hint="eastAsia" w:ascii="宋体" w:hAnsi="宋体"/>
          <w:color w:val="auto"/>
          <w:highlight w:val="none"/>
        </w:rPr>
        <w:t>地    址：</w:t>
      </w:r>
      <w:r>
        <w:rPr>
          <w:rFonts w:hint="eastAsia" w:ascii="Segoe UI Symbol" w:hAnsi="Segoe UI Symbol" w:cs="Segoe UI Symbol"/>
          <w:color w:val="auto"/>
          <w:szCs w:val="21"/>
          <w:highlight w:val="none"/>
          <w:u w:val="single"/>
        </w:rPr>
        <w:t xml:space="preserve"> 嵊州大道108号      </w:t>
      </w:r>
    </w:p>
    <w:p w14:paraId="6C894997">
      <w:pPr>
        <w:pStyle w:val="14"/>
        <w:spacing w:line="400" w:lineRule="exact"/>
        <w:ind w:left="0" w:right="-50" w:rightChars="-24" w:firstLine="0"/>
        <w:rPr>
          <w:rFonts w:ascii="宋体" w:hAnsi="宋体" w:cs="宋体"/>
          <w:color w:val="auto"/>
          <w:highlight w:val="none"/>
        </w:rPr>
      </w:pPr>
      <w:r>
        <w:rPr>
          <w:rFonts w:hint="eastAsia" w:ascii="宋体" w:hAnsi="宋体" w:cs="宋体"/>
          <w:color w:val="auto"/>
          <w:highlight w:val="none"/>
        </w:rPr>
        <w:t>邮政编码：</w:t>
      </w:r>
      <w:r>
        <w:rPr>
          <w:rFonts w:hint="eastAsia" w:ascii="宋体" w:hAnsi="宋体" w:cs="宋体"/>
          <w:color w:val="auto"/>
          <w:szCs w:val="21"/>
          <w:highlight w:val="none"/>
          <w:u w:val="single"/>
        </w:rPr>
        <w:t xml:space="preserve">  312400             </w:t>
      </w:r>
    </w:p>
    <w:p w14:paraId="57E29D35">
      <w:pPr>
        <w:pStyle w:val="14"/>
        <w:spacing w:line="400" w:lineRule="exact"/>
        <w:ind w:left="0" w:right="-50" w:rightChars="-24" w:firstLine="0"/>
        <w:rPr>
          <w:rFonts w:ascii="宋体" w:hAnsi="宋体"/>
          <w:color w:val="auto"/>
          <w:highlight w:val="none"/>
        </w:rPr>
      </w:pPr>
      <w:r>
        <w:rPr>
          <w:rFonts w:hint="eastAsia" w:ascii="宋体" w:hAnsi="宋体" w:cs="宋体"/>
          <w:color w:val="auto"/>
          <w:highlight w:val="none"/>
        </w:rPr>
        <w:t>电    话：</w:t>
      </w:r>
      <w:r>
        <w:rPr>
          <w:rFonts w:hint="eastAsia" w:ascii="宋体" w:hAnsi="宋体" w:cs="宋体"/>
          <w:color w:val="auto"/>
          <w:szCs w:val="21"/>
          <w:highlight w:val="none"/>
          <w:u w:val="single"/>
        </w:rPr>
        <w:t xml:space="preserve"> 0575-83021799       </w:t>
      </w:r>
    </w:p>
    <w:p w14:paraId="7A147077">
      <w:pPr>
        <w:pStyle w:val="3"/>
        <w:spacing w:line="360" w:lineRule="auto"/>
        <w:rPr>
          <w:rFonts w:ascii="Times New Roman" w:hAnsi="Times New Roman"/>
          <w:b w:val="0"/>
          <w:color w:val="auto"/>
          <w:szCs w:val="24"/>
          <w:highlight w:val="none"/>
        </w:rPr>
      </w:pPr>
      <w:r>
        <w:rPr>
          <w:rFonts w:hint="eastAsia" w:ascii="宋体" w:hAnsi="宋体" w:cs="宋体"/>
          <w:color w:val="auto"/>
          <w:sz w:val="24"/>
          <w:szCs w:val="24"/>
          <w:highlight w:val="none"/>
        </w:rPr>
        <w:t>10. 联系方式</w:t>
      </w:r>
      <w:bookmarkEnd w:id="36"/>
    </w:p>
    <w:tbl>
      <w:tblPr>
        <w:tblStyle w:val="34"/>
        <w:tblW w:w="9918" w:type="dxa"/>
        <w:tblInd w:w="0" w:type="dxa"/>
        <w:tblLayout w:type="autofit"/>
        <w:tblCellMar>
          <w:top w:w="0" w:type="dxa"/>
          <w:left w:w="108" w:type="dxa"/>
          <w:bottom w:w="0" w:type="dxa"/>
          <w:right w:w="108" w:type="dxa"/>
        </w:tblCellMar>
      </w:tblPr>
      <w:tblGrid>
        <w:gridCol w:w="1359"/>
        <w:gridCol w:w="3511"/>
        <w:gridCol w:w="1752"/>
        <w:gridCol w:w="3296"/>
      </w:tblGrid>
      <w:tr w14:paraId="13B1D5FA">
        <w:tblPrEx>
          <w:tblCellMar>
            <w:top w:w="0" w:type="dxa"/>
            <w:left w:w="108" w:type="dxa"/>
            <w:bottom w:w="0" w:type="dxa"/>
            <w:right w:w="108" w:type="dxa"/>
          </w:tblCellMar>
        </w:tblPrEx>
        <w:trPr>
          <w:trHeight w:val="502" w:hRule="atLeast"/>
        </w:trPr>
        <w:tc>
          <w:tcPr>
            <w:tcW w:w="1359" w:type="dxa"/>
            <w:vAlign w:val="center"/>
          </w:tcPr>
          <w:p w14:paraId="19F2345A">
            <w:pPr>
              <w:spacing w:line="360" w:lineRule="auto"/>
              <w:rPr>
                <w:rFonts w:ascii="宋体" w:hAnsi="宋体" w:cs="宋体"/>
                <w:color w:val="auto"/>
                <w:highlight w:val="none"/>
              </w:rPr>
            </w:pPr>
            <w:r>
              <w:rPr>
                <w:rFonts w:hint="eastAsia" w:ascii="宋体" w:hAnsi="宋体" w:cs="宋体"/>
                <w:color w:val="auto"/>
                <w:szCs w:val="21"/>
                <w:highlight w:val="none"/>
              </w:rPr>
              <w:t>发包人：</w:t>
            </w:r>
          </w:p>
        </w:tc>
        <w:tc>
          <w:tcPr>
            <w:tcW w:w="3511" w:type="dxa"/>
            <w:vAlign w:val="center"/>
          </w:tcPr>
          <w:p w14:paraId="5F76F79F">
            <w:pPr>
              <w:spacing w:line="360" w:lineRule="auto"/>
              <w:rPr>
                <w:rFonts w:ascii="宋体" w:hAnsi="宋体" w:cs="宋体"/>
                <w:color w:val="auto"/>
                <w:highlight w:val="none"/>
              </w:rPr>
            </w:pPr>
            <w:r>
              <w:rPr>
                <w:rFonts w:hint="eastAsia" w:ascii="宋体" w:hAnsi="宋体" w:cs="宋体"/>
                <w:color w:val="auto"/>
                <w:highlight w:val="none"/>
              </w:rPr>
              <w:t>嵊州市交通投资发展集团有限公司</w:t>
            </w:r>
          </w:p>
        </w:tc>
        <w:tc>
          <w:tcPr>
            <w:tcW w:w="1752" w:type="dxa"/>
            <w:vAlign w:val="center"/>
          </w:tcPr>
          <w:p w14:paraId="4563AE84">
            <w:pPr>
              <w:spacing w:line="360" w:lineRule="auto"/>
              <w:rPr>
                <w:rFonts w:ascii="宋体" w:hAnsi="宋体" w:cs="宋体"/>
                <w:color w:val="auto"/>
                <w:highlight w:val="none"/>
              </w:rPr>
            </w:pPr>
            <w:r>
              <w:rPr>
                <w:rFonts w:hint="eastAsia" w:ascii="宋体" w:hAnsi="宋体" w:cs="宋体"/>
                <w:color w:val="auto"/>
                <w:szCs w:val="21"/>
                <w:highlight w:val="none"/>
              </w:rPr>
              <w:t>发包代理机构：</w:t>
            </w:r>
          </w:p>
        </w:tc>
        <w:tc>
          <w:tcPr>
            <w:tcW w:w="3296" w:type="dxa"/>
            <w:vAlign w:val="center"/>
          </w:tcPr>
          <w:p w14:paraId="2CC4A076">
            <w:pPr>
              <w:spacing w:line="360" w:lineRule="auto"/>
              <w:rPr>
                <w:rFonts w:ascii="宋体" w:hAnsi="宋体" w:cs="宋体"/>
                <w:color w:val="auto"/>
                <w:highlight w:val="none"/>
              </w:rPr>
            </w:pPr>
            <w:r>
              <w:rPr>
                <w:rFonts w:hint="eastAsia" w:ascii="宋体" w:hAnsi="宋体" w:cs="宋体"/>
                <w:color w:val="auto"/>
                <w:highlight w:val="none"/>
              </w:rPr>
              <w:t>中冠工程管理咨询有限公司</w:t>
            </w:r>
          </w:p>
        </w:tc>
      </w:tr>
      <w:tr w14:paraId="7A1D2B95">
        <w:tblPrEx>
          <w:tblCellMar>
            <w:top w:w="0" w:type="dxa"/>
            <w:left w:w="108" w:type="dxa"/>
            <w:bottom w:w="0" w:type="dxa"/>
            <w:right w:w="108" w:type="dxa"/>
          </w:tblCellMar>
        </w:tblPrEx>
        <w:trPr>
          <w:trHeight w:val="522" w:hRule="atLeast"/>
        </w:trPr>
        <w:tc>
          <w:tcPr>
            <w:tcW w:w="1359" w:type="dxa"/>
            <w:vAlign w:val="center"/>
          </w:tcPr>
          <w:p w14:paraId="0B64C489">
            <w:pPr>
              <w:spacing w:line="360" w:lineRule="auto"/>
              <w:rPr>
                <w:rFonts w:ascii="宋体" w:hAnsi="宋体" w:cs="宋体"/>
                <w:color w:val="auto"/>
                <w:highlight w:val="none"/>
              </w:rPr>
            </w:pPr>
            <w:r>
              <w:rPr>
                <w:rFonts w:hint="eastAsia" w:ascii="宋体" w:hAnsi="宋体" w:cs="宋体"/>
                <w:color w:val="auto"/>
                <w:szCs w:val="21"/>
                <w:highlight w:val="none"/>
              </w:rPr>
              <w:t>地址：</w:t>
            </w:r>
          </w:p>
        </w:tc>
        <w:tc>
          <w:tcPr>
            <w:tcW w:w="3511" w:type="dxa"/>
            <w:vAlign w:val="center"/>
          </w:tcPr>
          <w:p w14:paraId="04D60A45">
            <w:pPr>
              <w:spacing w:line="360" w:lineRule="auto"/>
              <w:rPr>
                <w:rFonts w:ascii="宋体" w:hAnsi="宋体" w:cs="宋体"/>
                <w:color w:val="auto"/>
                <w:highlight w:val="none"/>
              </w:rPr>
            </w:pPr>
            <w:r>
              <w:rPr>
                <w:rFonts w:hint="eastAsia" w:ascii="宋体" w:hAnsi="宋体" w:cs="宋体"/>
                <w:color w:val="auto"/>
                <w:highlight w:val="none"/>
              </w:rPr>
              <w:t>嵊州市浦口街道华发南路88号</w:t>
            </w:r>
          </w:p>
        </w:tc>
        <w:tc>
          <w:tcPr>
            <w:tcW w:w="1752" w:type="dxa"/>
            <w:vAlign w:val="center"/>
          </w:tcPr>
          <w:p w14:paraId="3D97058C">
            <w:pPr>
              <w:spacing w:line="360" w:lineRule="auto"/>
              <w:rPr>
                <w:rFonts w:ascii="宋体" w:hAnsi="宋体" w:cs="宋体"/>
                <w:color w:val="auto"/>
                <w:highlight w:val="none"/>
              </w:rPr>
            </w:pPr>
            <w:r>
              <w:rPr>
                <w:rFonts w:hint="eastAsia" w:ascii="宋体" w:hAnsi="宋体" w:cs="宋体"/>
                <w:color w:val="auto"/>
                <w:szCs w:val="21"/>
                <w:highlight w:val="none"/>
              </w:rPr>
              <w:t>地址：</w:t>
            </w:r>
          </w:p>
        </w:tc>
        <w:tc>
          <w:tcPr>
            <w:tcW w:w="3296" w:type="dxa"/>
            <w:vAlign w:val="center"/>
          </w:tcPr>
          <w:p w14:paraId="7E65A01A">
            <w:pPr>
              <w:spacing w:line="360" w:lineRule="auto"/>
              <w:rPr>
                <w:rFonts w:ascii="宋体" w:hAnsi="宋体" w:cs="宋体"/>
                <w:color w:val="auto"/>
                <w:highlight w:val="none"/>
              </w:rPr>
            </w:pPr>
            <w:r>
              <w:rPr>
                <w:rFonts w:hint="eastAsia" w:ascii="宋体" w:hAnsi="宋体" w:cs="宋体"/>
                <w:color w:val="auto"/>
                <w:highlight w:val="none"/>
              </w:rPr>
              <w:t>绍兴市玛格丽特西区一幢3楼</w:t>
            </w:r>
          </w:p>
        </w:tc>
      </w:tr>
      <w:tr w14:paraId="0C09A618">
        <w:tblPrEx>
          <w:tblCellMar>
            <w:top w:w="0" w:type="dxa"/>
            <w:left w:w="108" w:type="dxa"/>
            <w:bottom w:w="0" w:type="dxa"/>
            <w:right w:w="108" w:type="dxa"/>
          </w:tblCellMar>
        </w:tblPrEx>
        <w:trPr>
          <w:trHeight w:val="237" w:hRule="atLeast"/>
        </w:trPr>
        <w:tc>
          <w:tcPr>
            <w:tcW w:w="1359" w:type="dxa"/>
            <w:vAlign w:val="center"/>
          </w:tcPr>
          <w:p w14:paraId="18F59E7A">
            <w:pPr>
              <w:spacing w:line="360" w:lineRule="auto"/>
              <w:rPr>
                <w:rFonts w:ascii="宋体" w:hAnsi="宋体" w:cs="宋体"/>
                <w:color w:val="auto"/>
                <w:highlight w:val="none"/>
              </w:rPr>
            </w:pPr>
            <w:r>
              <w:rPr>
                <w:rFonts w:hint="eastAsia" w:ascii="宋体" w:hAnsi="宋体" w:cs="宋体"/>
                <w:color w:val="auto"/>
                <w:szCs w:val="21"/>
                <w:highlight w:val="none"/>
              </w:rPr>
              <w:t>邮政编码：</w:t>
            </w:r>
          </w:p>
        </w:tc>
        <w:tc>
          <w:tcPr>
            <w:tcW w:w="3511" w:type="dxa"/>
            <w:vAlign w:val="center"/>
          </w:tcPr>
          <w:p w14:paraId="40BF97A4">
            <w:pPr>
              <w:spacing w:line="360" w:lineRule="auto"/>
              <w:rPr>
                <w:rFonts w:ascii="宋体" w:hAnsi="宋体" w:cs="宋体"/>
                <w:color w:val="auto"/>
                <w:highlight w:val="none"/>
              </w:rPr>
            </w:pPr>
            <w:r>
              <w:rPr>
                <w:rFonts w:hint="eastAsia" w:ascii="宋体" w:hAnsi="宋体" w:cs="宋体"/>
                <w:color w:val="auto"/>
                <w:highlight w:val="none"/>
              </w:rPr>
              <w:t>312400</w:t>
            </w:r>
          </w:p>
        </w:tc>
        <w:tc>
          <w:tcPr>
            <w:tcW w:w="1752" w:type="dxa"/>
            <w:vAlign w:val="center"/>
          </w:tcPr>
          <w:p w14:paraId="3116CD3D">
            <w:pPr>
              <w:spacing w:line="360" w:lineRule="auto"/>
              <w:rPr>
                <w:rFonts w:ascii="宋体" w:hAnsi="宋体" w:cs="宋体"/>
                <w:color w:val="auto"/>
                <w:highlight w:val="none"/>
              </w:rPr>
            </w:pPr>
            <w:r>
              <w:rPr>
                <w:rFonts w:hint="eastAsia" w:ascii="宋体" w:hAnsi="宋体" w:cs="宋体"/>
                <w:color w:val="auto"/>
                <w:szCs w:val="21"/>
                <w:highlight w:val="none"/>
              </w:rPr>
              <w:t>邮政编码：</w:t>
            </w:r>
          </w:p>
        </w:tc>
        <w:tc>
          <w:tcPr>
            <w:tcW w:w="3296" w:type="dxa"/>
            <w:vAlign w:val="center"/>
          </w:tcPr>
          <w:p w14:paraId="6C773788">
            <w:pPr>
              <w:spacing w:line="360" w:lineRule="auto"/>
              <w:rPr>
                <w:rFonts w:ascii="宋体" w:hAnsi="宋体" w:cs="宋体"/>
                <w:color w:val="auto"/>
                <w:highlight w:val="none"/>
              </w:rPr>
            </w:pPr>
            <w:r>
              <w:rPr>
                <w:rFonts w:hint="eastAsia" w:ascii="宋体" w:hAnsi="宋体" w:cs="宋体"/>
                <w:color w:val="auto"/>
                <w:highlight w:val="none"/>
              </w:rPr>
              <w:t>312000</w:t>
            </w:r>
          </w:p>
        </w:tc>
      </w:tr>
      <w:tr w14:paraId="31AC87CC">
        <w:tblPrEx>
          <w:tblCellMar>
            <w:top w:w="0" w:type="dxa"/>
            <w:left w:w="108" w:type="dxa"/>
            <w:bottom w:w="0" w:type="dxa"/>
            <w:right w:w="108" w:type="dxa"/>
          </w:tblCellMar>
        </w:tblPrEx>
        <w:trPr>
          <w:trHeight w:val="228" w:hRule="atLeast"/>
        </w:trPr>
        <w:tc>
          <w:tcPr>
            <w:tcW w:w="1359" w:type="dxa"/>
            <w:vAlign w:val="center"/>
          </w:tcPr>
          <w:p w14:paraId="58F49491">
            <w:pPr>
              <w:spacing w:line="360" w:lineRule="auto"/>
              <w:rPr>
                <w:rFonts w:ascii="宋体" w:hAnsi="宋体" w:cs="宋体"/>
                <w:color w:val="auto"/>
                <w:highlight w:val="none"/>
              </w:rPr>
            </w:pPr>
            <w:r>
              <w:rPr>
                <w:rFonts w:hint="eastAsia" w:ascii="宋体" w:hAnsi="宋体" w:cs="宋体"/>
                <w:color w:val="auto"/>
                <w:szCs w:val="21"/>
                <w:highlight w:val="none"/>
              </w:rPr>
              <w:t>联系人：</w:t>
            </w:r>
          </w:p>
        </w:tc>
        <w:tc>
          <w:tcPr>
            <w:tcW w:w="3511" w:type="dxa"/>
            <w:vAlign w:val="center"/>
          </w:tcPr>
          <w:p w14:paraId="1E647A01">
            <w:pPr>
              <w:spacing w:line="360" w:lineRule="auto"/>
              <w:rPr>
                <w:rFonts w:ascii="宋体" w:hAnsi="宋体" w:cs="宋体"/>
                <w:color w:val="auto"/>
                <w:highlight w:val="none"/>
              </w:rPr>
            </w:pPr>
            <w:r>
              <w:rPr>
                <w:rFonts w:hint="eastAsia" w:ascii="宋体" w:hAnsi="宋体" w:cs="宋体"/>
                <w:color w:val="auto"/>
                <w:highlight w:val="none"/>
                <w:lang w:val="en-US" w:eastAsia="zh-CN"/>
              </w:rPr>
              <w:t>周</w:t>
            </w:r>
            <w:r>
              <w:rPr>
                <w:rFonts w:hint="eastAsia" w:ascii="宋体" w:hAnsi="宋体" w:cs="宋体"/>
                <w:color w:val="auto"/>
                <w:highlight w:val="none"/>
              </w:rPr>
              <w:t>工</w:t>
            </w:r>
          </w:p>
        </w:tc>
        <w:tc>
          <w:tcPr>
            <w:tcW w:w="1752" w:type="dxa"/>
            <w:vAlign w:val="center"/>
          </w:tcPr>
          <w:p w14:paraId="72155BE0">
            <w:pPr>
              <w:spacing w:line="360" w:lineRule="auto"/>
              <w:rPr>
                <w:rFonts w:ascii="宋体" w:hAnsi="宋体" w:cs="宋体"/>
                <w:color w:val="auto"/>
                <w:highlight w:val="none"/>
              </w:rPr>
            </w:pPr>
            <w:r>
              <w:rPr>
                <w:rFonts w:hint="eastAsia" w:ascii="宋体" w:hAnsi="宋体" w:cs="宋体"/>
                <w:color w:val="auto"/>
                <w:szCs w:val="21"/>
                <w:highlight w:val="none"/>
              </w:rPr>
              <w:t>联系人：</w:t>
            </w:r>
          </w:p>
        </w:tc>
        <w:tc>
          <w:tcPr>
            <w:tcW w:w="3296" w:type="dxa"/>
            <w:vAlign w:val="center"/>
          </w:tcPr>
          <w:p w14:paraId="569D5872">
            <w:pPr>
              <w:spacing w:line="360" w:lineRule="auto"/>
              <w:rPr>
                <w:rFonts w:ascii="宋体" w:hAnsi="宋体" w:cs="宋体"/>
                <w:color w:val="auto"/>
                <w:highlight w:val="none"/>
              </w:rPr>
            </w:pPr>
            <w:r>
              <w:rPr>
                <w:rFonts w:hint="eastAsia" w:ascii="宋体" w:hAnsi="宋体" w:cs="宋体"/>
                <w:color w:val="auto"/>
                <w:highlight w:val="none"/>
              </w:rPr>
              <w:t>沈工</w:t>
            </w:r>
          </w:p>
        </w:tc>
      </w:tr>
      <w:tr w14:paraId="0C05518F">
        <w:tblPrEx>
          <w:tblCellMar>
            <w:top w:w="0" w:type="dxa"/>
            <w:left w:w="108" w:type="dxa"/>
            <w:bottom w:w="0" w:type="dxa"/>
            <w:right w:w="108" w:type="dxa"/>
          </w:tblCellMar>
        </w:tblPrEx>
        <w:trPr>
          <w:trHeight w:val="502" w:hRule="atLeast"/>
        </w:trPr>
        <w:tc>
          <w:tcPr>
            <w:tcW w:w="1359" w:type="dxa"/>
            <w:vAlign w:val="center"/>
          </w:tcPr>
          <w:p w14:paraId="44735C6A">
            <w:pPr>
              <w:spacing w:line="360" w:lineRule="auto"/>
              <w:rPr>
                <w:rFonts w:ascii="宋体" w:hAnsi="宋体" w:cs="宋体"/>
                <w:color w:val="auto"/>
                <w:highlight w:val="none"/>
              </w:rPr>
            </w:pPr>
            <w:r>
              <w:rPr>
                <w:rFonts w:hint="eastAsia" w:ascii="宋体" w:hAnsi="宋体" w:cs="宋体"/>
                <w:color w:val="auto"/>
                <w:szCs w:val="21"/>
                <w:highlight w:val="none"/>
              </w:rPr>
              <w:t>电话：</w:t>
            </w:r>
          </w:p>
        </w:tc>
        <w:tc>
          <w:tcPr>
            <w:tcW w:w="3511" w:type="dxa"/>
            <w:vAlign w:val="center"/>
          </w:tcPr>
          <w:p w14:paraId="355C0A2A">
            <w:pPr>
              <w:spacing w:line="360" w:lineRule="auto"/>
              <w:rPr>
                <w:rFonts w:ascii="宋体" w:hAnsi="宋体" w:cs="宋体"/>
                <w:color w:val="auto"/>
                <w:highlight w:val="none"/>
              </w:rPr>
            </w:pPr>
            <w:r>
              <w:rPr>
                <w:rFonts w:hint="eastAsia" w:ascii="宋体" w:hAnsi="宋体" w:cs="宋体"/>
                <w:color w:val="auto"/>
                <w:highlight w:val="none"/>
              </w:rPr>
              <w:t>13957511850</w:t>
            </w:r>
          </w:p>
        </w:tc>
        <w:tc>
          <w:tcPr>
            <w:tcW w:w="1752" w:type="dxa"/>
            <w:vAlign w:val="center"/>
          </w:tcPr>
          <w:p w14:paraId="46D1CE02">
            <w:pPr>
              <w:spacing w:line="360" w:lineRule="auto"/>
              <w:rPr>
                <w:rFonts w:ascii="宋体" w:hAnsi="宋体" w:cs="宋体"/>
                <w:color w:val="auto"/>
                <w:highlight w:val="none"/>
              </w:rPr>
            </w:pPr>
            <w:r>
              <w:rPr>
                <w:rFonts w:hint="eastAsia" w:ascii="宋体" w:hAnsi="宋体" w:cs="宋体"/>
                <w:color w:val="auto"/>
                <w:szCs w:val="21"/>
                <w:highlight w:val="none"/>
              </w:rPr>
              <w:t>电话：</w:t>
            </w:r>
          </w:p>
        </w:tc>
        <w:tc>
          <w:tcPr>
            <w:tcW w:w="3296" w:type="dxa"/>
            <w:vAlign w:val="center"/>
          </w:tcPr>
          <w:p w14:paraId="6F7A5DB4">
            <w:pPr>
              <w:spacing w:line="360" w:lineRule="auto"/>
              <w:rPr>
                <w:rFonts w:ascii="宋体" w:hAnsi="宋体" w:cs="宋体"/>
                <w:color w:val="auto"/>
                <w:highlight w:val="none"/>
              </w:rPr>
            </w:pPr>
            <w:r>
              <w:rPr>
                <w:rFonts w:hint="eastAsia" w:ascii="宋体" w:hAnsi="宋体" w:cs="宋体"/>
                <w:color w:val="auto"/>
                <w:highlight w:val="none"/>
              </w:rPr>
              <w:t>18767598034</w:t>
            </w:r>
          </w:p>
        </w:tc>
      </w:tr>
      <w:tr w14:paraId="0B1E3302">
        <w:tblPrEx>
          <w:tblCellMar>
            <w:top w:w="0" w:type="dxa"/>
            <w:left w:w="108" w:type="dxa"/>
            <w:bottom w:w="0" w:type="dxa"/>
            <w:right w:w="108" w:type="dxa"/>
          </w:tblCellMar>
        </w:tblPrEx>
        <w:trPr>
          <w:trHeight w:val="533" w:hRule="atLeast"/>
        </w:trPr>
        <w:tc>
          <w:tcPr>
            <w:tcW w:w="1359" w:type="dxa"/>
            <w:vAlign w:val="center"/>
          </w:tcPr>
          <w:p w14:paraId="17DFF0CB">
            <w:pPr>
              <w:spacing w:line="360" w:lineRule="auto"/>
              <w:rPr>
                <w:rFonts w:ascii="宋体" w:hAnsi="宋体" w:cs="宋体"/>
                <w:color w:val="auto"/>
                <w:highlight w:val="none"/>
              </w:rPr>
            </w:pPr>
            <w:r>
              <w:rPr>
                <w:rFonts w:hint="eastAsia" w:ascii="宋体" w:hAnsi="宋体" w:cs="宋体"/>
                <w:color w:val="auto"/>
                <w:szCs w:val="21"/>
                <w:highlight w:val="none"/>
              </w:rPr>
              <w:t>传真：</w:t>
            </w:r>
          </w:p>
        </w:tc>
        <w:tc>
          <w:tcPr>
            <w:tcW w:w="3511" w:type="dxa"/>
            <w:vAlign w:val="center"/>
          </w:tcPr>
          <w:p w14:paraId="1D34A11B">
            <w:pPr>
              <w:spacing w:line="360" w:lineRule="auto"/>
              <w:rPr>
                <w:rFonts w:ascii="宋体" w:hAnsi="宋体" w:cs="宋体"/>
                <w:color w:val="auto"/>
                <w:highlight w:val="none"/>
              </w:rPr>
            </w:pPr>
            <w:r>
              <w:rPr>
                <w:rFonts w:hint="eastAsia" w:ascii="宋体" w:hAnsi="宋体" w:cs="宋体"/>
                <w:color w:val="auto"/>
                <w:highlight w:val="none"/>
                <w:u w:val="single"/>
              </w:rPr>
              <w:t>/</w:t>
            </w:r>
          </w:p>
        </w:tc>
        <w:tc>
          <w:tcPr>
            <w:tcW w:w="1752" w:type="dxa"/>
            <w:vAlign w:val="center"/>
          </w:tcPr>
          <w:p w14:paraId="75405C84">
            <w:pPr>
              <w:spacing w:line="360" w:lineRule="auto"/>
              <w:rPr>
                <w:rFonts w:ascii="宋体" w:hAnsi="宋体" w:cs="宋体"/>
                <w:color w:val="auto"/>
                <w:highlight w:val="none"/>
              </w:rPr>
            </w:pPr>
            <w:r>
              <w:rPr>
                <w:rFonts w:hint="eastAsia" w:ascii="宋体" w:hAnsi="宋体" w:cs="宋体"/>
                <w:color w:val="auto"/>
                <w:szCs w:val="21"/>
                <w:highlight w:val="none"/>
              </w:rPr>
              <w:t>传真：</w:t>
            </w:r>
          </w:p>
        </w:tc>
        <w:tc>
          <w:tcPr>
            <w:tcW w:w="3296" w:type="dxa"/>
            <w:vAlign w:val="center"/>
          </w:tcPr>
          <w:p w14:paraId="3F006213">
            <w:pPr>
              <w:spacing w:line="360" w:lineRule="auto"/>
              <w:rPr>
                <w:rFonts w:ascii="宋体" w:hAnsi="宋体" w:cs="宋体"/>
                <w:color w:val="auto"/>
                <w:highlight w:val="none"/>
              </w:rPr>
            </w:pPr>
            <w:r>
              <w:rPr>
                <w:rFonts w:hint="eastAsia" w:ascii="宋体" w:hAnsi="宋体" w:cs="宋体"/>
                <w:color w:val="auto"/>
                <w:highlight w:val="none"/>
                <w:u w:val="single"/>
              </w:rPr>
              <w:t>/</w:t>
            </w:r>
          </w:p>
        </w:tc>
      </w:tr>
      <w:tr w14:paraId="2A25C885">
        <w:tblPrEx>
          <w:tblCellMar>
            <w:top w:w="0" w:type="dxa"/>
            <w:left w:w="108" w:type="dxa"/>
            <w:bottom w:w="0" w:type="dxa"/>
            <w:right w:w="108" w:type="dxa"/>
          </w:tblCellMar>
        </w:tblPrEx>
        <w:trPr>
          <w:trHeight w:val="566" w:hRule="atLeast"/>
        </w:trPr>
        <w:tc>
          <w:tcPr>
            <w:tcW w:w="1359" w:type="dxa"/>
            <w:vAlign w:val="center"/>
          </w:tcPr>
          <w:p w14:paraId="4CCC0A4B">
            <w:pPr>
              <w:spacing w:line="360" w:lineRule="auto"/>
              <w:rPr>
                <w:rFonts w:ascii="宋体" w:hAnsi="宋体" w:cs="宋体"/>
                <w:color w:val="auto"/>
                <w:highlight w:val="none"/>
              </w:rPr>
            </w:pPr>
            <w:r>
              <w:rPr>
                <w:rFonts w:hint="eastAsia" w:ascii="宋体" w:hAnsi="宋体" w:cs="宋体"/>
                <w:color w:val="auto"/>
                <w:highlight w:val="none"/>
              </w:rPr>
              <w:t>日期：</w:t>
            </w:r>
          </w:p>
        </w:tc>
        <w:tc>
          <w:tcPr>
            <w:tcW w:w="8559" w:type="dxa"/>
            <w:gridSpan w:val="3"/>
            <w:vAlign w:val="center"/>
          </w:tcPr>
          <w:p w14:paraId="4088686D">
            <w:pPr>
              <w:spacing w:line="360" w:lineRule="auto"/>
              <w:rPr>
                <w:rFonts w:ascii="宋体" w:hAnsi="宋体" w:cs="宋体"/>
                <w:color w:val="auto"/>
                <w:highlight w:val="none"/>
              </w:rPr>
            </w:pPr>
            <w:r>
              <w:rPr>
                <w:rFonts w:hint="eastAsia" w:ascii="宋体" w:hAnsi="宋体" w:cs="宋体"/>
                <w:color w:val="auto"/>
                <w:highlight w:val="none"/>
              </w:rPr>
              <w:t>2026年</w:t>
            </w:r>
            <w:r>
              <w:rPr>
                <w:rFonts w:hint="eastAsia" w:ascii="宋体" w:hAnsi="宋体" w:cs="宋体"/>
                <w:color w:val="auto"/>
                <w:highlight w:val="none"/>
                <w:u w:val="single"/>
                <w:lang w:val="en-US" w:eastAsia="zh-CN"/>
              </w:rPr>
              <w:t>11</w:t>
            </w:r>
            <w:r>
              <w:rPr>
                <w:rFonts w:hint="eastAsia" w:ascii="宋体" w:hAnsi="宋体" w:cs="宋体"/>
                <w:color w:val="auto"/>
                <w:highlight w:val="none"/>
              </w:rPr>
              <w:t>月</w:t>
            </w:r>
            <w:r>
              <w:rPr>
                <w:rFonts w:hint="eastAsia" w:ascii="宋体" w:hAnsi="宋体" w:cs="宋体"/>
                <w:color w:val="auto"/>
                <w:highlight w:val="none"/>
                <w:u w:val="single"/>
                <w:lang w:val="en-US" w:eastAsia="zh-CN"/>
              </w:rPr>
              <w:t>3</w:t>
            </w:r>
            <w:r>
              <w:rPr>
                <w:rFonts w:hint="eastAsia" w:ascii="宋体" w:hAnsi="宋体" w:cs="宋体"/>
                <w:color w:val="auto"/>
                <w:highlight w:val="none"/>
              </w:rPr>
              <w:t>日</w:t>
            </w:r>
          </w:p>
        </w:tc>
      </w:tr>
      <w:bookmarkEnd w:id="11"/>
      <w:bookmarkEnd w:id="12"/>
      <w:bookmarkEnd w:id="27"/>
      <w:bookmarkEnd w:id="28"/>
    </w:tbl>
    <w:p w14:paraId="6C00D404">
      <w:pPr>
        <w:pStyle w:val="14"/>
        <w:jc w:val="center"/>
        <w:rPr>
          <w:rFonts w:ascii="宋体" w:hAnsi="宋体"/>
          <w:color w:val="auto"/>
          <w:szCs w:val="21"/>
          <w:highlight w:val="none"/>
        </w:rPr>
      </w:pPr>
    </w:p>
    <w:p w14:paraId="2D47CE09">
      <w:pPr>
        <w:pStyle w:val="14"/>
        <w:jc w:val="center"/>
        <w:rPr>
          <w:rFonts w:ascii="宋体" w:hAnsi="宋体"/>
          <w:color w:val="auto"/>
          <w:szCs w:val="21"/>
          <w:highlight w:val="none"/>
        </w:rPr>
      </w:pPr>
    </w:p>
    <w:p w14:paraId="73F63AA8">
      <w:pPr>
        <w:pStyle w:val="14"/>
        <w:jc w:val="center"/>
        <w:rPr>
          <w:rFonts w:ascii="宋体" w:hAnsi="宋体"/>
          <w:color w:val="auto"/>
          <w:szCs w:val="21"/>
          <w:highlight w:val="none"/>
        </w:rPr>
      </w:pPr>
    </w:p>
    <w:p w14:paraId="7764BAD4">
      <w:pPr>
        <w:pStyle w:val="14"/>
        <w:jc w:val="center"/>
        <w:rPr>
          <w:rFonts w:ascii="宋体" w:hAnsi="宋体"/>
          <w:color w:val="auto"/>
          <w:szCs w:val="21"/>
          <w:highlight w:val="none"/>
        </w:rPr>
      </w:pPr>
    </w:p>
    <w:p w14:paraId="122EDC26">
      <w:pPr>
        <w:pStyle w:val="14"/>
        <w:jc w:val="center"/>
        <w:rPr>
          <w:rFonts w:ascii="宋体" w:hAnsi="宋体"/>
          <w:color w:val="auto"/>
          <w:szCs w:val="21"/>
          <w:highlight w:val="none"/>
        </w:rPr>
      </w:pPr>
    </w:p>
    <w:p w14:paraId="78B7A46B">
      <w:pPr>
        <w:pStyle w:val="14"/>
        <w:jc w:val="center"/>
        <w:rPr>
          <w:rFonts w:ascii="宋体" w:hAnsi="宋体"/>
          <w:color w:val="auto"/>
          <w:szCs w:val="21"/>
          <w:highlight w:val="none"/>
        </w:rPr>
      </w:pPr>
    </w:p>
    <w:p w14:paraId="274A69B1">
      <w:pPr>
        <w:pStyle w:val="14"/>
        <w:jc w:val="center"/>
        <w:rPr>
          <w:rFonts w:ascii="宋体" w:hAnsi="宋体"/>
          <w:color w:val="auto"/>
          <w:szCs w:val="21"/>
          <w:highlight w:val="none"/>
        </w:rPr>
      </w:pPr>
    </w:p>
    <w:p w14:paraId="0B9B186D">
      <w:pPr>
        <w:pStyle w:val="14"/>
        <w:jc w:val="center"/>
        <w:rPr>
          <w:rFonts w:ascii="宋体" w:hAnsi="宋体"/>
          <w:color w:val="auto"/>
          <w:szCs w:val="21"/>
          <w:highlight w:val="none"/>
        </w:rPr>
      </w:pPr>
    </w:p>
    <w:p w14:paraId="2A5A98CE">
      <w:pPr>
        <w:pStyle w:val="14"/>
        <w:jc w:val="center"/>
        <w:rPr>
          <w:rFonts w:ascii="宋体" w:hAnsi="宋体"/>
          <w:color w:val="auto"/>
          <w:szCs w:val="21"/>
          <w:highlight w:val="none"/>
        </w:rPr>
      </w:pPr>
    </w:p>
    <w:p w14:paraId="5D689056">
      <w:pPr>
        <w:pStyle w:val="14"/>
        <w:jc w:val="center"/>
        <w:rPr>
          <w:rFonts w:ascii="宋体" w:hAnsi="宋体"/>
          <w:color w:val="auto"/>
          <w:sz w:val="52"/>
          <w:szCs w:val="52"/>
          <w:highlight w:val="none"/>
        </w:rPr>
      </w:pPr>
      <w:r>
        <w:rPr>
          <w:rFonts w:hint="eastAsia" w:ascii="宋体" w:hAnsi="宋体"/>
          <w:color w:val="auto"/>
          <w:sz w:val="52"/>
          <w:szCs w:val="52"/>
          <w:highlight w:val="none"/>
        </w:rPr>
        <w:t>第二章  竞包人须知</w:t>
      </w:r>
    </w:p>
    <w:p w14:paraId="28360C6F">
      <w:pPr>
        <w:pStyle w:val="3"/>
        <w:jc w:val="center"/>
        <w:rPr>
          <w:rFonts w:ascii="宋体" w:hAnsi="宋体"/>
          <w:color w:val="auto"/>
          <w:sz w:val="52"/>
          <w:szCs w:val="52"/>
          <w:highlight w:val="none"/>
        </w:rPr>
        <w:sectPr>
          <w:headerReference r:id="rId13" w:type="default"/>
          <w:footerReference r:id="rId15" w:type="default"/>
          <w:headerReference r:id="rId14" w:type="even"/>
          <w:footerReference r:id="rId16" w:type="even"/>
          <w:footnotePr>
            <w:numFmt w:val="decimalEnclosedCircleChinese"/>
            <w:numRestart w:val="eachPage"/>
          </w:footnotePr>
          <w:type w:val="continuous"/>
          <w:pgSz w:w="11911" w:h="16849"/>
          <w:pgMar w:top="1417" w:right="1361" w:bottom="1417" w:left="1361" w:header="850" w:footer="907" w:gutter="0"/>
          <w:cols w:space="720" w:num="1"/>
        </w:sectPr>
      </w:pPr>
    </w:p>
    <w:p w14:paraId="212D0F2A">
      <w:pPr>
        <w:pStyle w:val="3"/>
        <w:spacing w:before="0" w:after="0" w:line="240" w:lineRule="auto"/>
        <w:jc w:val="center"/>
        <w:rPr>
          <w:rFonts w:ascii="宋体" w:hAnsi="宋体"/>
          <w:color w:val="auto"/>
          <w:sz w:val="44"/>
          <w:szCs w:val="44"/>
          <w:highlight w:val="none"/>
        </w:rPr>
      </w:pPr>
      <w:r>
        <w:rPr>
          <w:rFonts w:hint="eastAsia" w:ascii="宋体" w:hAnsi="宋体"/>
          <w:color w:val="auto"/>
          <w:sz w:val="21"/>
          <w:szCs w:val="21"/>
          <w:highlight w:val="none"/>
        </w:rPr>
        <w:br w:type="page"/>
      </w:r>
      <w:bookmarkStart w:id="37" w:name="_Toc6131"/>
      <w:bookmarkStart w:id="38" w:name="_Toc16398"/>
      <w:bookmarkStart w:id="39" w:name="_Toc27809"/>
      <w:bookmarkStart w:id="40" w:name="_Toc12245"/>
      <w:bookmarkStart w:id="41" w:name="_Toc30827"/>
      <w:bookmarkStart w:id="42" w:name="_Toc565"/>
      <w:r>
        <w:rPr>
          <w:rFonts w:hint="eastAsia" w:ascii="宋体" w:hAnsi="宋体"/>
          <w:color w:val="auto"/>
          <w:sz w:val="44"/>
          <w:szCs w:val="44"/>
          <w:highlight w:val="none"/>
        </w:rPr>
        <w:t>第二章 竞包人须知</w:t>
      </w:r>
      <w:bookmarkEnd w:id="37"/>
      <w:bookmarkEnd w:id="38"/>
      <w:bookmarkEnd w:id="39"/>
      <w:bookmarkEnd w:id="40"/>
      <w:bookmarkEnd w:id="41"/>
      <w:bookmarkEnd w:id="42"/>
    </w:p>
    <w:p w14:paraId="3980E1E8">
      <w:pPr>
        <w:pStyle w:val="63"/>
        <w:spacing w:before="0" w:after="0" w:line="460" w:lineRule="exact"/>
        <w:rPr>
          <w:rFonts w:ascii="宋体" w:hAnsi="宋体" w:eastAsia="宋体"/>
          <w:color w:val="auto"/>
          <w:sz w:val="21"/>
          <w:szCs w:val="21"/>
          <w:highlight w:val="none"/>
        </w:rPr>
      </w:pPr>
      <w:bookmarkStart w:id="43" w:name="_Toc2884"/>
      <w:bookmarkStart w:id="44" w:name="_Toc31820"/>
      <w:bookmarkStart w:id="45" w:name="_Toc13072"/>
      <w:bookmarkStart w:id="46" w:name="_Toc17581"/>
      <w:bookmarkStart w:id="47" w:name="_Toc3220"/>
      <w:bookmarkStart w:id="48" w:name="_Toc8347"/>
      <w:r>
        <w:rPr>
          <w:rFonts w:hint="eastAsia" w:ascii="宋体" w:hAnsi="宋体" w:eastAsia="宋体"/>
          <w:color w:val="auto"/>
          <w:sz w:val="21"/>
          <w:szCs w:val="21"/>
          <w:highlight w:val="none"/>
        </w:rPr>
        <w:t>竞包人须知前附表</w:t>
      </w:r>
      <w:bookmarkEnd w:id="43"/>
      <w:bookmarkEnd w:id="44"/>
      <w:bookmarkEnd w:id="45"/>
      <w:bookmarkEnd w:id="46"/>
      <w:bookmarkEnd w:id="47"/>
      <w:bookmarkEnd w:id="48"/>
    </w:p>
    <w:tbl>
      <w:tblPr>
        <w:tblStyle w:val="34"/>
        <w:tblW w:w="9558"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1"/>
        <w:gridCol w:w="2590"/>
        <w:gridCol w:w="5877"/>
      </w:tblGrid>
      <w:tr w14:paraId="12AD53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1091" w:type="dxa"/>
            <w:vAlign w:val="center"/>
          </w:tcPr>
          <w:p w14:paraId="0D7489A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条款号</w:t>
            </w:r>
          </w:p>
        </w:tc>
        <w:tc>
          <w:tcPr>
            <w:tcW w:w="2590" w:type="dxa"/>
            <w:vAlign w:val="center"/>
          </w:tcPr>
          <w:p w14:paraId="66DC114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条 款 名 称</w:t>
            </w:r>
          </w:p>
        </w:tc>
        <w:tc>
          <w:tcPr>
            <w:tcW w:w="5877" w:type="dxa"/>
            <w:vAlign w:val="center"/>
          </w:tcPr>
          <w:p w14:paraId="45494A00">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编 列 内 容</w:t>
            </w:r>
          </w:p>
        </w:tc>
      </w:tr>
      <w:tr w14:paraId="48578B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832" w:hRule="atLeast"/>
        </w:trPr>
        <w:tc>
          <w:tcPr>
            <w:tcW w:w="1091" w:type="dxa"/>
            <w:tcBorders>
              <w:bottom w:val="single" w:color="auto" w:sz="4" w:space="0"/>
            </w:tcBorders>
            <w:vAlign w:val="center"/>
          </w:tcPr>
          <w:p w14:paraId="714330CE">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1.1.2</w:t>
            </w:r>
          </w:p>
        </w:tc>
        <w:tc>
          <w:tcPr>
            <w:tcW w:w="2590" w:type="dxa"/>
            <w:vAlign w:val="center"/>
          </w:tcPr>
          <w:p w14:paraId="2CB48358">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发包人</w:t>
            </w:r>
          </w:p>
        </w:tc>
        <w:tc>
          <w:tcPr>
            <w:tcW w:w="5877" w:type="dxa"/>
            <w:vAlign w:val="center"/>
          </w:tcPr>
          <w:p w14:paraId="51B1B888">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名  称：嵊州市交通投资发展集团有限公司</w:t>
            </w:r>
          </w:p>
          <w:p w14:paraId="5CCACB10">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地  址：嵊州市浦口街道华发南路88号</w:t>
            </w:r>
          </w:p>
          <w:p w14:paraId="69B6FD32">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联系人：张工</w:t>
            </w:r>
          </w:p>
          <w:p w14:paraId="5C212253">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电  话：18072211006</w:t>
            </w:r>
          </w:p>
          <w:p w14:paraId="65C33F9B">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传  真：/</w:t>
            </w:r>
          </w:p>
        </w:tc>
      </w:tr>
      <w:tr w14:paraId="37F36F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832" w:hRule="atLeast"/>
        </w:trPr>
        <w:tc>
          <w:tcPr>
            <w:tcW w:w="1091" w:type="dxa"/>
            <w:tcBorders>
              <w:top w:val="single" w:color="auto" w:sz="4" w:space="0"/>
              <w:bottom w:val="single" w:color="auto" w:sz="4" w:space="0"/>
            </w:tcBorders>
            <w:vAlign w:val="center"/>
          </w:tcPr>
          <w:p w14:paraId="070C2B41">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1.1.3</w:t>
            </w:r>
          </w:p>
        </w:tc>
        <w:tc>
          <w:tcPr>
            <w:tcW w:w="2590" w:type="dxa"/>
            <w:vAlign w:val="center"/>
          </w:tcPr>
          <w:p w14:paraId="20520409">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发包代理机构</w:t>
            </w:r>
          </w:p>
        </w:tc>
        <w:tc>
          <w:tcPr>
            <w:tcW w:w="5877" w:type="dxa"/>
            <w:vAlign w:val="center"/>
          </w:tcPr>
          <w:p w14:paraId="2CAA1FBB">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名  称：中冠工程管理咨询有限公司</w:t>
            </w:r>
          </w:p>
          <w:p w14:paraId="0DE579FD">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地  址：绍兴市玛格丽特西区一幢3楼</w:t>
            </w:r>
          </w:p>
          <w:p w14:paraId="0AE7906B">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联系人：沈工</w:t>
            </w:r>
          </w:p>
          <w:p w14:paraId="62B34C14">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电  话：18767598034</w:t>
            </w:r>
          </w:p>
          <w:p w14:paraId="4959E310">
            <w:pPr>
              <w:pStyle w:val="14"/>
              <w:autoSpaceDE/>
              <w:autoSpaceDN/>
              <w:spacing w:line="220" w:lineRule="exact"/>
              <w:ind w:left="0" w:firstLine="0"/>
              <w:rPr>
                <w:rFonts w:ascii="宋体" w:hAnsi="宋体"/>
                <w:color w:val="auto"/>
                <w:szCs w:val="21"/>
                <w:highlight w:val="none"/>
              </w:rPr>
            </w:pPr>
            <w:r>
              <w:rPr>
                <w:rFonts w:hint="eastAsia" w:ascii="宋体" w:hAnsi="宋体"/>
                <w:color w:val="auto"/>
                <w:szCs w:val="21"/>
                <w:highlight w:val="none"/>
              </w:rPr>
              <w:t>传  真：/</w:t>
            </w:r>
          </w:p>
        </w:tc>
      </w:tr>
      <w:tr w14:paraId="3458F0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5" w:hRule="atLeast"/>
        </w:trPr>
        <w:tc>
          <w:tcPr>
            <w:tcW w:w="1091" w:type="dxa"/>
            <w:tcBorders>
              <w:top w:val="single" w:color="auto" w:sz="4" w:space="0"/>
              <w:bottom w:val="single" w:color="auto" w:sz="4" w:space="0"/>
            </w:tcBorders>
            <w:vAlign w:val="center"/>
          </w:tcPr>
          <w:p w14:paraId="0659C226">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1.1.4</w:t>
            </w:r>
          </w:p>
        </w:tc>
        <w:tc>
          <w:tcPr>
            <w:tcW w:w="2590" w:type="dxa"/>
            <w:vAlign w:val="center"/>
          </w:tcPr>
          <w:p w14:paraId="0C05D262">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发包项目名称</w:t>
            </w:r>
          </w:p>
        </w:tc>
        <w:tc>
          <w:tcPr>
            <w:tcW w:w="5877" w:type="dxa"/>
            <w:vAlign w:val="center"/>
          </w:tcPr>
          <w:p w14:paraId="13DD7A3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甬金高速出入口建设工程</w:t>
            </w:r>
          </w:p>
        </w:tc>
      </w:tr>
      <w:tr w14:paraId="7C679C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3" w:hRule="atLeast"/>
        </w:trPr>
        <w:tc>
          <w:tcPr>
            <w:tcW w:w="1091" w:type="dxa"/>
            <w:tcBorders>
              <w:top w:val="single" w:color="auto" w:sz="4" w:space="0"/>
            </w:tcBorders>
            <w:vAlign w:val="center"/>
          </w:tcPr>
          <w:p w14:paraId="3B4621F9">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1.1.5</w:t>
            </w:r>
          </w:p>
        </w:tc>
        <w:tc>
          <w:tcPr>
            <w:tcW w:w="2590" w:type="dxa"/>
            <w:vAlign w:val="center"/>
          </w:tcPr>
          <w:p w14:paraId="42261DDD">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标段建设地点</w:t>
            </w:r>
          </w:p>
        </w:tc>
        <w:tc>
          <w:tcPr>
            <w:tcW w:w="5877" w:type="dxa"/>
            <w:vAlign w:val="center"/>
          </w:tcPr>
          <w:p w14:paraId="0540D13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浙江省绍兴市嵊州市</w:t>
            </w:r>
          </w:p>
        </w:tc>
      </w:tr>
      <w:tr w14:paraId="2A78ED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91" w:type="dxa"/>
            <w:tcBorders>
              <w:top w:val="single" w:color="auto" w:sz="4" w:space="0"/>
            </w:tcBorders>
            <w:vAlign w:val="center"/>
          </w:tcPr>
          <w:p w14:paraId="22C9FCA9">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1.1.6</w:t>
            </w:r>
          </w:p>
        </w:tc>
        <w:tc>
          <w:tcPr>
            <w:tcW w:w="2590" w:type="dxa"/>
            <w:vAlign w:val="center"/>
          </w:tcPr>
          <w:p w14:paraId="732995DA">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标段建设规模</w:t>
            </w:r>
          </w:p>
        </w:tc>
        <w:tc>
          <w:tcPr>
            <w:tcW w:w="5877" w:type="dxa"/>
            <w:vAlign w:val="center"/>
          </w:tcPr>
          <w:p w14:paraId="209619E1">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详见发包公告</w:t>
            </w:r>
          </w:p>
        </w:tc>
      </w:tr>
      <w:tr w14:paraId="14299EF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3" w:hRule="atLeast"/>
        </w:trPr>
        <w:tc>
          <w:tcPr>
            <w:tcW w:w="1091" w:type="dxa"/>
            <w:tcBorders>
              <w:top w:val="single" w:color="auto" w:sz="4" w:space="0"/>
            </w:tcBorders>
            <w:vAlign w:val="center"/>
          </w:tcPr>
          <w:p w14:paraId="59EDDCD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1.1.7</w:t>
            </w:r>
          </w:p>
        </w:tc>
        <w:tc>
          <w:tcPr>
            <w:tcW w:w="2590" w:type="dxa"/>
            <w:vAlign w:val="center"/>
          </w:tcPr>
          <w:p w14:paraId="07976CC3">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标段投资估算</w:t>
            </w:r>
          </w:p>
        </w:tc>
        <w:tc>
          <w:tcPr>
            <w:tcW w:w="5877" w:type="dxa"/>
            <w:vAlign w:val="center"/>
          </w:tcPr>
          <w:p w14:paraId="4CB29800">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详见发包公告</w:t>
            </w:r>
          </w:p>
        </w:tc>
      </w:tr>
      <w:tr w14:paraId="3B05E1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9" w:hRule="atLeast"/>
        </w:trPr>
        <w:tc>
          <w:tcPr>
            <w:tcW w:w="1091" w:type="dxa"/>
            <w:tcBorders>
              <w:bottom w:val="single" w:color="auto" w:sz="4" w:space="0"/>
            </w:tcBorders>
            <w:vAlign w:val="center"/>
          </w:tcPr>
          <w:p w14:paraId="5E7D0BC5">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1.2.1</w:t>
            </w:r>
          </w:p>
        </w:tc>
        <w:tc>
          <w:tcPr>
            <w:tcW w:w="2590" w:type="dxa"/>
            <w:vAlign w:val="center"/>
          </w:tcPr>
          <w:p w14:paraId="54F889F8">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资金来源及比例</w:t>
            </w:r>
          </w:p>
        </w:tc>
        <w:tc>
          <w:tcPr>
            <w:tcW w:w="5877" w:type="dxa"/>
            <w:vAlign w:val="center"/>
          </w:tcPr>
          <w:p w14:paraId="2AC6A47C">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自有资金，100%</w:t>
            </w:r>
          </w:p>
        </w:tc>
      </w:tr>
      <w:tr w14:paraId="795688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29" w:hRule="atLeast"/>
        </w:trPr>
        <w:tc>
          <w:tcPr>
            <w:tcW w:w="1091" w:type="dxa"/>
            <w:tcBorders>
              <w:top w:val="single" w:color="auto" w:sz="4" w:space="0"/>
            </w:tcBorders>
            <w:vAlign w:val="center"/>
          </w:tcPr>
          <w:p w14:paraId="5BD038E6">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1.2.2</w:t>
            </w:r>
          </w:p>
        </w:tc>
        <w:tc>
          <w:tcPr>
            <w:tcW w:w="2590" w:type="dxa"/>
            <w:vAlign w:val="center"/>
          </w:tcPr>
          <w:p w14:paraId="656DCF94">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资金落实情况</w:t>
            </w:r>
          </w:p>
        </w:tc>
        <w:tc>
          <w:tcPr>
            <w:tcW w:w="5877" w:type="dxa"/>
            <w:vAlign w:val="center"/>
          </w:tcPr>
          <w:p w14:paraId="051E9C78">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已落实</w:t>
            </w:r>
          </w:p>
        </w:tc>
      </w:tr>
      <w:tr w14:paraId="104F89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95" w:hRule="atLeast"/>
        </w:trPr>
        <w:tc>
          <w:tcPr>
            <w:tcW w:w="1091" w:type="dxa"/>
            <w:tcBorders>
              <w:bottom w:val="single" w:color="auto" w:sz="4" w:space="0"/>
            </w:tcBorders>
            <w:vAlign w:val="center"/>
          </w:tcPr>
          <w:p w14:paraId="5AE421B9">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1.3.1</w:t>
            </w:r>
          </w:p>
        </w:tc>
        <w:tc>
          <w:tcPr>
            <w:tcW w:w="2590" w:type="dxa"/>
            <w:vAlign w:val="center"/>
          </w:tcPr>
          <w:p w14:paraId="274E0632">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发包范围</w:t>
            </w:r>
          </w:p>
        </w:tc>
        <w:tc>
          <w:tcPr>
            <w:tcW w:w="5877" w:type="dxa"/>
            <w:vAlign w:val="center"/>
          </w:tcPr>
          <w:p w14:paraId="45267D95">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□初勘、初测</w:t>
            </w:r>
          </w:p>
          <w:p w14:paraId="7A44FBC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□详勘、定测</w:t>
            </w:r>
          </w:p>
          <w:p w14:paraId="407E0C9A">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☑初步设计</w:t>
            </w:r>
          </w:p>
          <w:p w14:paraId="39092FE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☑技术设计（如需要）</w:t>
            </w:r>
          </w:p>
          <w:p w14:paraId="754165B9">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☑施工图设计</w:t>
            </w:r>
          </w:p>
          <w:p w14:paraId="163F888A">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☑其他：概预算文件编制、施工发包用图纸和工程量清单、施工项目专用技术规范编制及后续服务</w:t>
            </w:r>
          </w:p>
        </w:tc>
      </w:tr>
      <w:tr w14:paraId="0B80AB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52" w:hRule="atLeast"/>
        </w:trPr>
        <w:tc>
          <w:tcPr>
            <w:tcW w:w="1091" w:type="dxa"/>
            <w:tcBorders>
              <w:top w:val="single" w:color="auto" w:sz="4" w:space="0"/>
            </w:tcBorders>
            <w:vAlign w:val="center"/>
          </w:tcPr>
          <w:p w14:paraId="065B3295">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1.3.2</w:t>
            </w:r>
          </w:p>
        </w:tc>
        <w:tc>
          <w:tcPr>
            <w:tcW w:w="2590" w:type="dxa"/>
            <w:vAlign w:val="center"/>
          </w:tcPr>
          <w:p w14:paraId="75650B74">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设计服务期限</w:t>
            </w:r>
          </w:p>
        </w:tc>
        <w:tc>
          <w:tcPr>
            <w:tcW w:w="5877" w:type="dxa"/>
            <w:vAlign w:val="center"/>
          </w:tcPr>
          <w:p w14:paraId="54E767A5">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详见专用合同条款第6条的规定</w:t>
            </w:r>
          </w:p>
        </w:tc>
      </w:tr>
      <w:tr w14:paraId="607738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trPr>
        <w:tc>
          <w:tcPr>
            <w:tcW w:w="1091" w:type="dxa"/>
            <w:tcBorders>
              <w:top w:val="single" w:color="auto" w:sz="4" w:space="0"/>
              <w:bottom w:val="single" w:color="auto" w:sz="4" w:space="0"/>
            </w:tcBorders>
            <w:vAlign w:val="center"/>
          </w:tcPr>
          <w:p w14:paraId="28EE7A66">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1.3.3</w:t>
            </w:r>
          </w:p>
        </w:tc>
        <w:tc>
          <w:tcPr>
            <w:tcW w:w="2590" w:type="dxa"/>
            <w:vAlign w:val="center"/>
          </w:tcPr>
          <w:p w14:paraId="43F8B324">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质量要求</w:t>
            </w:r>
          </w:p>
        </w:tc>
        <w:tc>
          <w:tcPr>
            <w:tcW w:w="5877" w:type="dxa"/>
            <w:vAlign w:val="center"/>
          </w:tcPr>
          <w:p w14:paraId="79B7A3B3">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设计工作综合评价分值90分及以上</w:t>
            </w:r>
          </w:p>
        </w:tc>
      </w:tr>
      <w:tr w14:paraId="593ADC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60" w:hRule="atLeast"/>
        </w:trPr>
        <w:tc>
          <w:tcPr>
            <w:tcW w:w="1091" w:type="dxa"/>
            <w:tcBorders>
              <w:top w:val="single" w:color="auto" w:sz="4" w:space="0"/>
            </w:tcBorders>
            <w:vAlign w:val="center"/>
          </w:tcPr>
          <w:p w14:paraId="4D555EC7">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1.3.4</w:t>
            </w:r>
          </w:p>
        </w:tc>
        <w:tc>
          <w:tcPr>
            <w:tcW w:w="2590" w:type="dxa"/>
            <w:vAlign w:val="center"/>
          </w:tcPr>
          <w:p w14:paraId="3319FF14">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安全目标</w:t>
            </w:r>
          </w:p>
        </w:tc>
        <w:tc>
          <w:tcPr>
            <w:tcW w:w="5877" w:type="dxa"/>
            <w:vAlign w:val="center"/>
          </w:tcPr>
          <w:p w14:paraId="445EC2A3">
            <w:pPr>
              <w:pStyle w:val="14"/>
              <w:autoSpaceDE/>
              <w:autoSpaceDN/>
              <w:spacing w:line="320" w:lineRule="exact"/>
              <w:ind w:left="0" w:firstLine="0"/>
              <w:rPr>
                <w:rFonts w:ascii="宋体" w:hAnsi="宋体"/>
                <w:color w:val="auto"/>
                <w:szCs w:val="21"/>
                <w:highlight w:val="none"/>
              </w:rPr>
            </w:pPr>
            <w:r>
              <w:rPr>
                <w:rFonts w:hint="eastAsia" w:ascii="宋体" w:hAnsi="宋体"/>
                <w:color w:val="auto"/>
                <w:szCs w:val="21"/>
                <w:highlight w:val="none"/>
              </w:rPr>
              <w:t>不发生较大及以上生产安全责任事故，人员零死亡</w:t>
            </w:r>
          </w:p>
        </w:tc>
      </w:tr>
    </w:tbl>
    <w:p w14:paraId="424F6AD9">
      <w:pPr>
        <w:pStyle w:val="14"/>
        <w:autoSpaceDE/>
        <w:autoSpaceDN/>
        <w:spacing w:line="320" w:lineRule="exact"/>
        <w:jc w:val="right"/>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续上表</w:t>
      </w: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70"/>
        <w:gridCol w:w="2562"/>
        <w:gridCol w:w="5912"/>
      </w:tblGrid>
      <w:tr w14:paraId="57B374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63A32B0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条款号</w:t>
            </w:r>
          </w:p>
        </w:tc>
        <w:tc>
          <w:tcPr>
            <w:tcW w:w="2562" w:type="dxa"/>
            <w:vAlign w:val="center"/>
          </w:tcPr>
          <w:p w14:paraId="6E7430D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条 款 名 称</w:t>
            </w:r>
          </w:p>
        </w:tc>
        <w:tc>
          <w:tcPr>
            <w:tcW w:w="5912" w:type="dxa"/>
            <w:vAlign w:val="center"/>
          </w:tcPr>
          <w:p w14:paraId="1306392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编 列 内 容</w:t>
            </w:r>
          </w:p>
        </w:tc>
      </w:tr>
      <w:tr w14:paraId="12021A6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534" w:hRule="atLeast"/>
        </w:trPr>
        <w:tc>
          <w:tcPr>
            <w:tcW w:w="1070" w:type="dxa"/>
            <w:vAlign w:val="center"/>
          </w:tcPr>
          <w:p w14:paraId="42B1AF0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1.4.1</w:t>
            </w:r>
          </w:p>
        </w:tc>
        <w:tc>
          <w:tcPr>
            <w:tcW w:w="2562" w:type="dxa"/>
            <w:vAlign w:val="center"/>
          </w:tcPr>
          <w:p w14:paraId="07353A6C">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竞包人资质条件、能力和信誉</w:t>
            </w:r>
          </w:p>
        </w:tc>
        <w:tc>
          <w:tcPr>
            <w:tcW w:w="5912" w:type="dxa"/>
            <w:vAlign w:val="center"/>
          </w:tcPr>
          <w:p w14:paraId="02D0FA20">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资质条件：见附录1</w:t>
            </w:r>
          </w:p>
          <w:p w14:paraId="1390C4F1">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业绩要求：见附录2</w:t>
            </w:r>
          </w:p>
          <w:p w14:paraId="37B22A3C">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信誉要求：见附录3</w:t>
            </w:r>
          </w:p>
          <w:p w14:paraId="658C4C74">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项目负责人资格：见附录4</w:t>
            </w:r>
          </w:p>
          <w:p w14:paraId="4740A0B3">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其他要求：/</w:t>
            </w:r>
          </w:p>
        </w:tc>
      </w:tr>
      <w:tr w14:paraId="74E929F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1B64CFD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1.4.2</w:t>
            </w:r>
          </w:p>
        </w:tc>
        <w:tc>
          <w:tcPr>
            <w:tcW w:w="2562" w:type="dxa"/>
            <w:vAlign w:val="center"/>
          </w:tcPr>
          <w:p w14:paraId="7B430B95">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是否接受联合体竞包</w:t>
            </w:r>
          </w:p>
        </w:tc>
        <w:tc>
          <w:tcPr>
            <w:tcW w:w="5912" w:type="dxa"/>
            <w:vAlign w:val="center"/>
          </w:tcPr>
          <w:p w14:paraId="3E6CEA89">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☑不接受</w:t>
            </w:r>
          </w:p>
          <w:p w14:paraId="158BC450">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□接受：</w:t>
            </w:r>
          </w:p>
        </w:tc>
      </w:tr>
      <w:tr w14:paraId="3D9F05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1070" w:type="dxa"/>
            <w:vAlign w:val="center"/>
          </w:tcPr>
          <w:p w14:paraId="009F5F25">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1.4.3</w:t>
            </w:r>
          </w:p>
        </w:tc>
        <w:tc>
          <w:tcPr>
            <w:tcW w:w="2562" w:type="dxa"/>
            <w:vAlign w:val="center"/>
          </w:tcPr>
          <w:p w14:paraId="18C754F6">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竞包人不得存在的其他关联情形</w:t>
            </w:r>
          </w:p>
        </w:tc>
        <w:tc>
          <w:tcPr>
            <w:tcW w:w="5912" w:type="dxa"/>
            <w:vAlign w:val="center"/>
          </w:tcPr>
          <w:p w14:paraId="37FF5C0A">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w:t>
            </w:r>
          </w:p>
        </w:tc>
      </w:tr>
      <w:tr w14:paraId="79A8DF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1070" w:type="dxa"/>
            <w:vAlign w:val="center"/>
          </w:tcPr>
          <w:p w14:paraId="3C9966F5">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1.4.4</w:t>
            </w:r>
          </w:p>
        </w:tc>
        <w:tc>
          <w:tcPr>
            <w:tcW w:w="2562" w:type="dxa"/>
            <w:vAlign w:val="center"/>
          </w:tcPr>
          <w:p w14:paraId="4DAC01A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竞包人不得存在的其他不良状况或不良信用记录</w:t>
            </w:r>
          </w:p>
        </w:tc>
        <w:tc>
          <w:tcPr>
            <w:tcW w:w="5912" w:type="dxa"/>
            <w:vAlign w:val="center"/>
          </w:tcPr>
          <w:p w14:paraId="19E50BEF">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有行贿犯罪行为的时间：2023年1月1日以来</w:t>
            </w:r>
          </w:p>
          <w:p w14:paraId="6E73A995">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竞包人不得存在的其他不良状况或不良信用记录：/</w:t>
            </w:r>
          </w:p>
        </w:tc>
      </w:tr>
      <w:tr w14:paraId="066EF5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5" w:hRule="atLeast"/>
        </w:trPr>
        <w:tc>
          <w:tcPr>
            <w:tcW w:w="1070" w:type="dxa"/>
            <w:vAlign w:val="center"/>
          </w:tcPr>
          <w:p w14:paraId="0ACFAC9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1.10.2</w:t>
            </w:r>
          </w:p>
        </w:tc>
        <w:tc>
          <w:tcPr>
            <w:tcW w:w="2562" w:type="dxa"/>
            <w:vAlign w:val="center"/>
          </w:tcPr>
          <w:p w14:paraId="3D66B77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竞包预备会竞包人提出问题</w:t>
            </w:r>
          </w:p>
        </w:tc>
        <w:tc>
          <w:tcPr>
            <w:tcW w:w="5912" w:type="dxa"/>
            <w:vAlign w:val="center"/>
          </w:tcPr>
          <w:p w14:paraId="5B91FC91">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不召开</w:t>
            </w:r>
          </w:p>
        </w:tc>
      </w:tr>
      <w:tr w14:paraId="767FF6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5853A8B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1.11.1</w:t>
            </w:r>
          </w:p>
        </w:tc>
        <w:tc>
          <w:tcPr>
            <w:tcW w:w="2562" w:type="dxa"/>
            <w:vAlign w:val="center"/>
          </w:tcPr>
          <w:p w14:paraId="44F13170">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分包</w:t>
            </w:r>
          </w:p>
        </w:tc>
        <w:tc>
          <w:tcPr>
            <w:tcW w:w="5912" w:type="dxa"/>
            <w:vAlign w:val="center"/>
          </w:tcPr>
          <w:p w14:paraId="4D83A72F">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☑不允许</w:t>
            </w:r>
          </w:p>
          <w:p w14:paraId="032F378E">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□允许</w:t>
            </w:r>
          </w:p>
        </w:tc>
      </w:tr>
      <w:tr w14:paraId="724313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21" w:hRule="atLeast"/>
        </w:trPr>
        <w:tc>
          <w:tcPr>
            <w:tcW w:w="1070" w:type="dxa"/>
            <w:vAlign w:val="center"/>
          </w:tcPr>
          <w:p w14:paraId="54931CE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2.1</w:t>
            </w:r>
          </w:p>
        </w:tc>
        <w:tc>
          <w:tcPr>
            <w:tcW w:w="2562" w:type="dxa"/>
            <w:vAlign w:val="center"/>
          </w:tcPr>
          <w:p w14:paraId="3AF306D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构成发包文件的其他材料</w:t>
            </w:r>
          </w:p>
        </w:tc>
        <w:tc>
          <w:tcPr>
            <w:tcW w:w="5912" w:type="dxa"/>
            <w:vAlign w:val="center"/>
          </w:tcPr>
          <w:p w14:paraId="5486B1EC">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发包人按规定报备后的标有编号的补遗书（如有）</w:t>
            </w:r>
          </w:p>
        </w:tc>
      </w:tr>
      <w:tr w14:paraId="7414153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2D76154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2.2.1</w:t>
            </w:r>
          </w:p>
        </w:tc>
        <w:tc>
          <w:tcPr>
            <w:tcW w:w="2562" w:type="dxa"/>
            <w:vAlign w:val="center"/>
          </w:tcPr>
          <w:p w14:paraId="796E178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竞包人要求澄清发包文件</w:t>
            </w:r>
          </w:p>
        </w:tc>
        <w:tc>
          <w:tcPr>
            <w:tcW w:w="5912" w:type="dxa"/>
            <w:vAlign w:val="center"/>
          </w:tcPr>
          <w:p w14:paraId="3FFAB7C6">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提疑函递交地点：中冠工程管理咨询有限公司（绍兴市玛格丽特西区一幢3楼）代理部；提疑函递交电子邮箱：</w:t>
            </w:r>
            <w:r>
              <w:rPr>
                <w:rFonts w:hint="eastAsia" w:ascii="宋体" w:hAnsi="宋体"/>
                <w:color w:val="auto"/>
                <w:szCs w:val="21"/>
                <w:highlight w:val="none"/>
                <w:lang w:eastAsia="zh-CN"/>
              </w:rPr>
              <w:t>1418619632</w:t>
            </w:r>
            <w:r>
              <w:rPr>
                <w:rFonts w:hint="eastAsia" w:ascii="宋体" w:hAnsi="宋体"/>
                <w:color w:val="auto"/>
                <w:szCs w:val="21"/>
                <w:highlight w:val="none"/>
              </w:rPr>
              <w:t>@qq.com；</w:t>
            </w:r>
          </w:p>
          <w:p w14:paraId="07DDEC21">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提出疑问的截止时间：2026年</w:t>
            </w:r>
            <w:r>
              <w:rPr>
                <w:rFonts w:hint="eastAsia" w:ascii="宋体" w:hAnsi="宋体"/>
                <w:color w:val="auto"/>
                <w:szCs w:val="21"/>
                <w:highlight w:val="none"/>
                <w:lang w:val="en-US" w:eastAsia="zh-CN"/>
              </w:rPr>
              <w:t>11</w:t>
            </w:r>
            <w:r>
              <w:rPr>
                <w:rFonts w:hint="eastAsia" w:ascii="宋体" w:hAnsi="宋体"/>
                <w:color w:val="auto"/>
                <w:szCs w:val="21"/>
                <w:highlight w:val="none"/>
              </w:rPr>
              <w:t>月</w:t>
            </w:r>
            <w:r>
              <w:rPr>
                <w:rFonts w:hint="eastAsia" w:ascii="宋体" w:hAnsi="宋体"/>
                <w:color w:val="auto"/>
                <w:szCs w:val="21"/>
                <w:highlight w:val="none"/>
                <w:lang w:val="en-US" w:eastAsia="zh-CN"/>
              </w:rPr>
              <w:t>10</w:t>
            </w:r>
            <w:r>
              <w:rPr>
                <w:rFonts w:hint="eastAsia" w:ascii="宋体" w:hAnsi="宋体"/>
                <w:color w:val="auto"/>
                <w:szCs w:val="21"/>
                <w:highlight w:val="none"/>
              </w:rPr>
              <w:t>日9时30分</w:t>
            </w:r>
            <w:r>
              <w:rPr>
                <w:rFonts w:hint="eastAsia" w:hAnsi="宋体"/>
                <w:color w:val="auto"/>
                <w:highlight w:val="none"/>
              </w:rPr>
              <w:t>（竞包人在截止时间以后提出的澄清招标文件的要求，招标人可以拒绝受理）</w:t>
            </w:r>
          </w:p>
        </w:tc>
      </w:tr>
      <w:tr w14:paraId="32FBE6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62D0B53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2.2.2</w:t>
            </w:r>
          </w:p>
        </w:tc>
        <w:tc>
          <w:tcPr>
            <w:tcW w:w="2562" w:type="dxa"/>
            <w:vAlign w:val="center"/>
          </w:tcPr>
          <w:p w14:paraId="6914E53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发包文件的澄清</w:t>
            </w:r>
          </w:p>
        </w:tc>
        <w:tc>
          <w:tcPr>
            <w:tcW w:w="5912" w:type="dxa"/>
            <w:vAlign w:val="center"/>
          </w:tcPr>
          <w:p w14:paraId="67F3B23C">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2.2.2项细化为：</w:t>
            </w:r>
          </w:p>
          <w:p w14:paraId="0B7AAF28">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2.2.2发包文件澄清的内容影响竞包文件编制的，发包人将在竞包截止时间1日前，以电子文件形式上传至“交易平台”供竞包人下载，不足1天的，发包人将顺延递交竞包文件的截止时间。</w:t>
            </w:r>
          </w:p>
          <w:p w14:paraId="5A1228C9">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当发包文件的澄清等在同一内容的表述不一致时，以后发出的文件为准。</w:t>
            </w:r>
          </w:p>
        </w:tc>
      </w:tr>
      <w:tr w14:paraId="6CB058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18C4E6A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2.3.1</w:t>
            </w:r>
          </w:p>
        </w:tc>
        <w:tc>
          <w:tcPr>
            <w:tcW w:w="2562" w:type="dxa"/>
            <w:vAlign w:val="center"/>
          </w:tcPr>
          <w:p w14:paraId="1DF972CC">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发包文件的修改</w:t>
            </w:r>
          </w:p>
        </w:tc>
        <w:tc>
          <w:tcPr>
            <w:tcW w:w="5912" w:type="dxa"/>
            <w:vAlign w:val="center"/>
          </w:tcPr>
          <w:p w14:paraId="0A60515E">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2.3.1款细化为：</w:t>
            </w:r>
          </w:p>
          <w:p w14:paraId="6E71B5F3">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2.3.1发包文件修改的内容影响竞包文件编制的，发包人将在竞包截止时间1日前，以电子文件形式上传至“交易平台”供竞包人下载，不足1天的，发包人将顺延递交竞包文件的截止时间。</w:t>
            </w:r>
          </w:p>
          <w:p w14:paraId="66A2C82B">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当发包文件的修改等在同一内容的表述不一致时，以后发出的文件为准。</w:t>
            </w:r>
          </w:p>
        </w:tc>
      </w:tr>
      <w:tr w14:paraId="4198C7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74D7839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3.1.1</w:t>
            </w:r>
          </w:p>
        </w:tc>
        <w:tc>
          <w:tcPr>
            <w:tcW w:w="2562" w:type="dxa"/>
            <w:vAlign w:val="center"/>
          </w:tcPr>
          <w:p w14:paraId="3D3C095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构成竞包文件的其他资料</w:t>
            </w:r>
          </w:p>
        </w:tc>
        <w:tc>
          <w:tcPr>
            <w:tcW w:w="5912" w:type="dxa"/>
            <w:vAlign w:val="center"/>
          </w:tcPr>
          <w:p w14:paraId="6C9EBD77">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w:t>
            </w:r>
          </w:p>
        </w:tc>
      </w:tr>
      <w:tr w14:paraId="3D0642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8" w:hRule="atLeast"/>
        </w:trPr>
        <w:tc>
          <w:tcPr>
            <w:tcW w:w="1070" w:type="dxa"/>
            <w:vAlign w:val="center"/>
          </w:tcPr>
          <w:p w14:paraId="284F0DB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3.2.1</w:t>
            </w:r>
          </w:p>
        </w:tc>
        <w:tc>
          <w:tcPr>
            <w:tcW w:w="2562" w:type="dxa"/>
            <w:vAlign w:val="center"/>
          </w:tcPr>
          <w:p w14:paraId="4C48960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增值税税金的计算方法</w:t>
            </w:r>
          </w:p>
        </w:tc>
        <w:tc>
          <w:tcPr>
            <w:tcW w:w="5912" w:type="dxa"/>
            <w:vAlign w:val="center"/>
          </w:tcPr>
          <w:p w14:paraId="1DFE1A71">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一般计税法</w:t>
            </w:r>
          </w:p>
        </w:tc>
      </w:tr>
      <w:tr w14:paraId="7DF5A94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0AA9EE7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3.2.3</w:t>
            </w:r>
          </w:p>
        </w:tc>
        <w:tc>
          <w:tcPr>
            <w:tcW w:w="2562" w:type="dxa"/>
            <w:vAlign w:val="center"/>
          </w:tcPr>
          <w:p w14:paraId="13F5AC34">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报价方式</w:t>
            </w:r>
          </w:p>
        </w:tc>
        <w:tc>
          <w:tcPr>
            <w:tcW w:w="5912" w:type="dxa"/>
            <w:vAlign w:val="center"/>
          </w:tcPr>
          <w:p w14:paraId="1981C025">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☑总价</w:t>
            </w:r>
          </w:p>
          <w:p w14:paraId="178486E0">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□单价</w:t>
            </w:r>
          </w:p>
        </w:tc>
      </w:tr>
      <w:tr w14:paraId="2DF629A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11" w:hRule="atLeast"/>
        </w:trPr>
        <w:tc>
          <w:tcPr>
            <w:tcW w:w="1070" w:type="dxa"/>
            <w:vAlign w:val="center"/>
          </w:tcPr>
          <w:p w14:paraId="2316F4E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3.2.4</w:t>
            </w:r>
          </w:p>
        </w:tc>
        <w:tc>
          <w:tcPr>
            <w:tcW w:w="2562" w:type="dxa"/>
            <w:vAlign w:val="center"/>
          </w:tcPr>
          <w:p w14:paraId="5AB39443">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竞包控制价</w:t>
            </w:r>
          </w:p>
        </w:tc>
        <w:tc>
          <w:tcPr>
            <w:tcW w:w="5912" w:type="dxa"/>
            <w:vAlign w:val="center"/>
          </w:tcPr>
          <w:p w14:paraId="0288BFA6">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☑有，竞包控制价为</w:t>
            </w:r>
            <w:r>
              <w:rPr>
                <w:rFonts w:ascii="宋体" w:hAnsi="宋体"/>
                <w:color w:val="auto"/>
                <w:szCs w:val="21"/>
                <w:highlight w:val="none"/>
                <w:u w:val="single"/>
              </w:rPr>
              <w:t>46</w:t>
            </w:r>
            <w:r>
              <w:rPr>
                <w:rFonts w:hint="eastAsia" w:ascii="宋体" w:hAnsi="宋体"/>
                <w:color w:val="auto"/>
                <w:szCs w:val="21"/>
                <w:highlight w:val="none"/>
                <w:u w:val="single"/>
                <w:lang w:val="en-US" w:eastAsia="zh-CN"/>
              </w:rPr>
              <w:t>.</w:t>
            </w:r>
            <w:r>
              <w:rPr>
                <w:rFonts w:ascii="宋体" w:hAnsi="宋体"/>
                <w:color w:val="auto"/>
                <w:szCs w:val="21"/>
                <w:highlight w:val="none"/>
                <w:u w:val="single"/>
              </w:rPr>
              <w:t>500</w:t>
            </w:r>
            <w:r>
              <w:rPr>
                <w:rFonts w:hint="eastAsia" w:ascii="宋体" w:hAnsi="宋体"/>
                <w:color w:val="auto"/>
                <w:szCs w:val="21"/>
                <w:highlight w:val="none"/>
                <w:u w:val="single"/>
                <w:lang w:val="en-US" w:eastAsia="zh-CN"/>
              </w:rPr>
              <w:t>5万</w:t>
            </w:r>
            <w:r>
              <w:rPr>
                <w:rFonts w:hint="eastAsia" w:ascii="宋体" w:hAnsi="宋体"/>
                <w:color w:val="auto"/>
                <w:szCs w:val="21"/>
                <w:highlight w:val="none"/>
                <w:u w:val="single"/>
              </w:rPr>
              <w:t>元</w:t>
            </w:r>
            <w:r>
              <w:rPr>
                <w:rFonts w:hint="eastAsia" w:ascii="宋体" w:hAnsi="宋体"/>
                <w:color w:val="auto"/>
                <w:szCs w:val="21"/>
                <w:highlight w:val="none"/>
              </w:rPr>
              <w:t>(含），超过竞包控制价的竞包文件作否决竞包处理。</w:t>
            </w:r>
          </w:p>
        </w:tc>
      </w:tr>
      <w:tr w14:paraId="74E7D8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6" w:hRule="atLeast"/>
        </w:trPr>
        <w:tc>
          <w:tcPr>
            <w:tcW w:w="1070" w:type="dxa"/>
            <w:vAlign w:val="center"/>
          </w:tcPr>
          <w:p w14:paraId="528A2245">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3.2.5</w:t>
            </w:r>
          </w:p>
        </w:tc>
        <w:tc>
          <w:tcPr>
            <w:tcW w:w="2562" w:type="dxa"/>
            <w:vAlign w:val="center"/>
          </w:tcPr>
          <w:p w14:paraId="5C391EC0">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竞包报价的其他要求</w:t>
            </w:r>
          </w:p>
        </w:tc>
        <w:tc>
          <w:tcPr>
            <w:tcW w:w="5912" w:type="dxa"/>
            <w:vAlign w:val="center"/>
          </w:tcPr>
          <w:p w14:paraId="79AE55D3">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符合发包文件要求</w:t>
            </w:r>
          </w:p>
        </w:tc>
      </w:tr>
      <w:tr w14:paraId="34000E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0E399E2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3.3.1</w:t>
            </w:r>
          </w:p>
        </w:tc>
        <w:tc>
          <w:tcPr>
            <w:tcW w:w="2562" w:type="dxa"/>
            <w:vAlign w:val="center"/>
          </w:tcPr>
          <w:p w14:paraId="5D3BF2E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竞包有效期</w:t>
            </w:r>
          </w:p>
        </w:tc>
        <w:tc>
          <w:tcPr>
            <w:tcW w:w="5912" w:type="dxa"/>
            <w:vAlign w:val="center"/>
          </w:tcPr>
          <w:p w14:paraId="69DF0E56">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自竞包人提交竞包文件截止之日起计算60日</w:t>
            </w:r>
          </w:p>
        </w:tc>
      </w:tr>
      <w:tr w14:paraId="421634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43A0FA53">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3.4.1</w:t>
            </w:r>
          </w:p>
        </w:tc>
        <w:tc>
          <w:tcPr>
            <w:tcW w:w="2562" w:type="dxa"/>
            <w:vAlign w:val="center"/>
          </w:tcPr>
          <w:p w14:paraId="2DCE45B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竞包保证金</w:t>
            </w:r>
          </w:p>
        </w:tc>
        <w:tc>
          <w:tcPr>
            <w:tcW w:w="5912" w:type="dxa"/>
            <w:vAlign w:val="center"/>
          </w:tcPr>
          <w:p w14:paraId="2C402121">
            <w:pPr>
              <w:pStyle w:val="14"/>
              <w:spacing w:line="280" w:lineRule="exact"/>
              <w:ind w:left="0" w:firstLine="0"/>
              <w:rPr>
                <w:rFonts w:ascii="宋体" w:hAnsi="宋体"/>
                <w:color w:val="auto"/>
                <w:szCs w:val="21"/>
                <w:highlight w:val="none"/>
              </w:rPr>
            </w:pPr>
            <w:r>
              <w:rPr>
                <w:rFonts w:hint="eastAsia" w:ascii="宋体" w:hAnsi="宋体"/>
                <w:color w:val="auto"/>
                <w:szCs w:val="21"/>
                <w:highlight w:val="none"/>
              </w:rPr>
              <w:t>☑ 不要求递交竞包保证金</w:t>
            </w:r>
          </w:p>
        </w:tc>
      </w:tr>
      <w:tr w14:paraId="10681D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070" w:type="dxa"/>
            <w:vAlign w:val="center"/>
          </w:tcPr>
          <w:p w14:paraId="2A8B2D6D">
            <w:pPr>
              <w:spacing w:line="300" w:lineRule="exact"/>
              <w:rPr>
                <w:rFonts w:ascii="宋体" w:hAnsi="宋体"/>
                <w:color w:val="auto"/>
                <w:szCs w:val="21"/>
                <w:highlight w:val="none"/>
              </w:rPr>
            </w:pPr>
            <w:r>
              <w:rPr>
                <w:rFonts w:hint="eastAsia" w:ascii="宋体" w:hAnsi="宋体" w:cs="宋体"/>
                <w:color w:val="auto"/>
                <w:szCs w:val="21"/>
                <w:highlight w:val="none"/>
              </w:rPr>
              <w:t>3.4.3</w:t>
            </w:r>
          </w:p>
        </w:tc>
        <w:tc>
          <w:tcPr>
            <w:tcW w:w="2562" w:type="dxa"/>
            <w:vAlign w:val="center"/>
          </w:tcPr>
          <w:p w14:paraId="0BB68902">
            <w:pPr>
              <w:spacing w:line="300" w:lineRule="exact"/>
              <w:jc w:val="center"/>
              <w:rPr>
                <w:rFonts w:ascii="宋体" w:hAnsi="宋体"/>
                <w:color w:val="auto"/>
                <w:szCs w:val="21"/>
                <w:highlight w:val="none"/>
              </w:rPr>
            </w:pPr>
            <w:r>
              <w:rPr>
                <w:rFonts w:hint="eastAsia" w:ascii="宋体" w:hAnsi="宋体" w:cs="宋体"/>
                <w:color w:val="auto"/>
                <w:szCs w:val="21"/>
                <w:highlight w:val="none"/>
              </w:rPr>
              <w:t>竞包保证金的退还</w:t>
            </w:r>
          </w:p>
        </w:tc>
        <w:tc>
          <w:tcPr>
            <w:tcW w:w="5912" w:type="dxa"/>
            <w:vAlign w:val="center"/>
          </w:tcPr>
          <w:p w14:paraId="53A39BC1">
            <w:pPr>
              <w:adjustRightInd w:val="0"/>
              <w:snapToGrid w:val="0"/>
              <w:spacing w:line="280" w:lineRule="exact"/>
              <w:ind w:firstLine="420" w:firstLineChars="200"/>
              <w:rPr>
                <w:rFonts w:ascii="宋体" w:hAnsi="宋体"/>
                <w:color w:val="auto"/>
                <w:szCs w:val="21"/>
                <w:highlight w:val="none"/>
              </w:rPr>
            </w:pPr>
            <w:r>
              <w:rPr>
                <w:rFonts w:hint="eastAsia" w:ascii="宋体" w:hAnsi="宋体" w:cs="宋体"/>
                <w:color w:val="auto"/>
                <w:szCs w:val="21"/>
                <w:highlight w:val="none"/>
              </w:rPr>
              <w:t>最迟在书面合同签订后5日内向中包人和未中包的竞包人退还竞包保证金及银行同期存款利息。</w:t>
            </w:r>
          </w:p>
        </w:tc>
      </w:tr>
      <w:tr w14:paraId="72716C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70" w:type="dxa"/>
            <w:vAlign w:val="center"/>
          </w:tcPr>
          <w:p w14:paraId="062E3FF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3.4.4</w:t>
            </w:r>
          </w:p>
        </w:tc>
        <w:tc>
          <w:tcPr>
            <w:tcW w:w="2562" w:type="dxa"/>
            <w:vAlign w:val="center"/>
          </w:tcPr>
          <w:p w14:paraId="6B33D59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竞包保证金不予退还的其他情形</w:t>
            </w:r>
          </w:p>
        </w:tc>
        <w:tc>
          <w:tcPr>
            <w:tcW w:w="5912" w:type="dxa"/>
            <w:vAlign w:val="center"/>
          </w:tcPr>
          <w:p w14:paraId="6DB4D03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（1）经查实，竞包人在竞包过程中串通竞包或弄虚作假的。</w:t>
            </w:r>
          </w:p>
          <w:p w14:paraId="0816085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（2）竞包截止时间后，竞包人撤销竞包文件的；</w:t>
            </w:r>
          </w:p>
          <w:p w14:paraId="1922F60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（3）竞包人放弃中包候选人或中包资格的（包括中包人无正当理由不与发包人订立合同；在签订合同时向发包人提出附加条件；不按照发包文件要求提交履约担保）；</w:t>
            </w:r>
          </w:p>
          <w:p w14:paraId="058A114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（4）竞包人存在串通竞包或弄虚作假违法行为的（包括但不限于不同竞包人从同一竞包单位或同一自然人的IP 地址下载发包文件、购买保函或参加竞包活动的人员为同一标段其他竞包人的在职人员的；不同竞包人通过同一单位或者个人账户购买保函的）；</w:t>
            </w:r>
          </w:p>
          <w:p w14:paraId="413DF8C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（5）法律法规规定的其他情形。</w:t>
            </w:r>
          </w:p>
        </w:tc>
      </w:tr>
      <w:tr w14:paraId="384463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70" w:type="dxa"/>
            <w:vAlign w:val="center"/>
          </w:tcPr>
          <w:p w14:paraId="1CD3982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3.5.1</w:t>
            </w:r>
          </w:p>
        </w:tc>
        <w:tc>
          <w:tcPr>
            <w:tcW w:w="2562" w:type="dxa"/>
            <w:vAlign w:val="center"/>
          </w:tcPr>
          <w:p w14:paraId="5730ED9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竞包人基本情况表应附资料</w:t>
            </w:r>
          </w:p>
        </w:tc>
        <w:tc>
          <w:tcPr>
            <w:tcW w:w="5912" w:type="dxa"/>
            <w:vAlign w:val="center"/>
          </w:tcPr>
          <w:p w14:paraId="29A3F29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“竞包人基本情况表”应附：</w:t>
            </w:r>
          </w:p>
          <w:p w14:paraId="6838E04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（1）企业法人营业执照副本和组织机构代码证副本（按照“三证合一”或“五证合一”登记制度进行登记的，可仅提供营业执照副本，下同）扫描件；</w:t>
            </w:r>
          </w:p>
          <w:p w14:paraId="4D05AA6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（2）设计资质证书副本扫描件（联合体竞包的，此项由承担设计任务的所有成员提供）；</w:t>
            </w:r>
          </w:p>
          <w:p w14:paraId="3049F71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（3）基本账户开户许可证（或银行出具的基本账户存款证明或基本存款账户信息）的扫描件；</w:t>
            </w:r>
          </w:p>
          <w:p w14:paraId="063C5DA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☑（4）竞包人在交通运输部“全国公路建设市场监督管理系统”（https://hwdms.mot.gov.cn/BMWebSite/）公路工程设计资质企业名录中的网页截图；</w:t>
            </w:r>
          </w:p>
          <w:p w14:paraId="535F3E6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（5）竞包人在国家企业信用信息公示系统中基础信息（体现股东及出资详细信息）的网页截图或由法定的社会验资机构出具的验资报告或注册地市场监督部门出具的股东出资情况证明扫描件；</w:t>
            </w:r>
          </w:p>
          <w:p w14:paraId="4B039A10">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企业法人营业执照副本和组织机构代码证副本、设计资质证书副本、基本账户开户许可证（或银行出具的基本账户存款证明或基本存款账户信息）的扫描件应提供全本（证书封面、封底、空白页除外），应包括竞包人名称、竞包人其他相关信息、颁发机构名称、竞包人信息变更情况等关键页在内，并逐页加盖竞包人单位印章（联合体竞包的，由联合体牵头人加盖单位印章）；</w:t>
            </w:r>
          </w:p>
          <w:p w14:paraId="28B30FE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□（8）《中小企业声明函》（面向中小企业发包的，竞包人或联合体中的中小企业需提供）；</w:t>
            </w:r>
          </w:p>
          <w:p w14:paraId="0D65C6E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（9）其他说明：/</w:t>
            </w:r>
          </w:p>
        </w:tc>
      </w:tr>
    </w:tbl>
    <w:p w14:paraId="0F7051E1">
      <w:pPr>
        <w:pStyle w:val="14"/>
        <w:spacing w:line="360" w:lineRule="exact"/>
        <w:ind w:left="0" w:firstLine="0"/>
        <w:rPr>
          <w:rFonts w:ascii="宋体" w:hAnsi="宋体"/>
          <w:color w:val="auto"/>
          <w:szCs w:val="21"/>
          <w:highlight w:val="none"/>
        </w:rPr>
        <w:sectPr>
          <w:headerReference r:id="rId17" w:type="even"/>
          <w:footnotePr>
            <w:numFmt w:val="decimalEnclosedCircleChinese"/>
            <w:numRestart w:val="eachPage"/>
          </w:footnotePr>
          <w:type w:val="continuous"/>
          <w:pgSz w:w="11911" w:h="16849"/>
          <w:pgMar w:top="1417" w:right="1361" w:bottom="1417" w:left="1361" w:header="850" w:footer="907" w:gutter="0"/>
          <w:cols w:space="720" w:num="1"/>
        </w:sectPr>
      </w:pP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6"/>
        <w:gridCol w:w="2591"/>
        <w:gridCol w:w="5857"/>
      </w:tblGrid>
      <w:tr w14:paraId="2763CF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45" w:hRule="atLeast"/>
        </w:trPr>
        <w:tc>
          <w:tcPr>
            <w:tcW w:w="1096" w:type="dxa"/>
            <w:vAlign w:val="center"/>
          </w:tcPr>
          <w:p w14:paraId="77C575A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3.5.2</w:t>
            </w:r>
          </w:p>
        </w:tc>
        <w:tc>
          <w:tcPr>
            <w:tcW w:w="2591" w:type="dxa"/>
            <w:vAlign w:val="center"/>
          </w:tcPr>
          <w:p w14:paraId="6AAA5645">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近年完成的类似项目情况的具体年份及应附资料</w:t>
            </w:r>
          </w:p>
        </w:tc>
        <w:tc>
          <w:tcPr>
            <w:tcW w:w="5857" w:type="dxa"/>
            <w:vAlign w:val="center"/>
          </w:tcPr>
          <w:p w14:paraId="7EE3CB4B">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年份：自2021年7月1日以来</w:t>
            </w:r>
          </w:p>
          <w:p w14:paraId="23CE17A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“近年完成的类似项目情况表”应附：合同协议书；</w:t>
            </w:r>
          </w:p>
          <w:p w14:paraId="468ED15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业绩时间认定以合同签订时间为准。</w:t>
            </w:r>
          </w:p>
          <w:p w14:paraId="111D4B2B">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上述资料中的设计单位名称与竞包人名称必须一致，否则业绩不予认可。以下情形除外：</w:t>
            </w:r>
          </w:p>
          <w:p w14:paraId="5A158EE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（1）设计单位名称发生变更的，但已提供法定部门的批准材料；</w:t>
            </w:r>
          </w:p>
          <w:p w14:paraId="07D5500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（2）____/_______。</w:t>
            </w:r>
          </w:p>
          <w:p w14:paraId="58CB56AF">
            <w:pPr>
              <w:pStyle w:val="10"/>
              <w:rPr>
                <w:rFonts w:ascii="宋体" w:hAnsi="宋体"/>
                <w:color w:val="auto"/>
                <w:szCs w:val="21"/>
                <w:highlight w:val="none"/>
              </w:rPr>
            </w:pPr>
            <w:r>
              <w:rPr>
                <w:rFonts w:hint="eastAsia" w:ascii="宋体" w:hAnsi="宋体"/>
                <w:color w:val="auto"/>
                <w:szCs w:val="21"/>
                <w:highlight w:val="none"/>
              </w:rPr>
              <w:t>工程规模的解释顺序为：合同协议书。</w:t>
            </w:r>
          </w:p>
        </w:tc>
      </w:tr>
      <w:tr w14:paraId="6BED9C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3F3402C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3.5.3</w:t>
            </w:r>
          </w:p>
        </w:tc>
        <w:tc>
          <w:tcPr>
            <w:tcW w:w="2591" w:type="dxa"/>
            <w:vAlign w:val="center"/>
          </w:tcPr>
          <w:p w14:paraId="066C255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竞包人的信誉情况表应附资料</w:t>
            </w:r>
          </w:p>
        </w:tc>
        <w:tc>
          <w:tcPr>
            <w:tcW w:w="5857" w:type="dxa"/>
            <w:vAlign w:val="center"/>
          </w:tcPr>
          <w:p w14:paraId="573EDA89">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的信誉情况表”应附竞包人在国家企业信用信息公示系统中未被列入严重违法失信企业名单、在“信用中国”网站中未被列入失信被执行人名单的网页截图或由“信用中国”网站跳转至“中国执行信息公开网”上被未列入失信被执行人名单网页截图。</w:t>
            </w:r>
          </w:p>
        </w:tc>
      </w:tr>
      <w:tr w14:paraId="06DE55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4EDF227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3.5.4</w:t>
            </w:r>
          </w:p>
        </w:tc>
        <w:tc>
          <w:tcPr>
            <w:tcW w:w="2591" w:type="dxa"/>
            <w:vAlign w:val="center"/>
          </w:tcPr>
          <w:p w14:paraId="68E2C10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拟委任的项目负责人资历表应附资料</w:t>
            </w:r>
          </w:p>
        </w:tc>
        <w:tc>
          <w:tcPr>
            <w:tcW w:w="5857" w:type="dxa"/>
            <w:vAlign w:val="center"/>
          </w:tcPr>
          <w:p w14:paraId="635428A3">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拟委任的项目负责人资历表”应附：（1）拟委任的项目负责人的身份证、职称资格证书以及资格审查条件所要求的其他相关证书的扫描件等；(2)对项目负责人有业绩要求的，应出具相应业绩证明材料:中标通知书或合同协议书或项目发包人(或项目业主或项目行业主管部门)出具的业绩证明:以上材料中应体现人员的姓名、任职、公路规模、等级标准，否则业绩不予认可。</w:t>
            </w:r>
          </w:p>
          <w:p w14:paraId="569981C7">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竞包人拟委任的项目负责人在“浙江省交通运输信用管理与服务系统”中已全部公开的，可在诚信系统信息表后提供公开查询结果网页截图。</w:t>
            </w:r>
          </w:p>
        </w:tc>
      </w:tr>
      <w:tr w14:paraId="6DF2B2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50" w:hRule="atLeast"/>
        </w:trPr>
        <w:tc>
          <w:tcPr>
            <w:tcW w:w="1096" w:type="dxa"/>
            <w:vAlign w:val="center"/>
          </w:tcPr>
          <w:p w14:paraId="4D80CF73">
            <w:pPr>
              <w:pStyle w:val="80"/>
              <w:spacing w:before="65" w:line="189" w:lineRule="auto"/>
              <w:rPr>
                <w:rFonts w:cs="Times New Roman"/>
                <w:color w:val="auto"/>
                <w:sz w:val="21"/>
                <w:szCs w:val="21"/>
                <w:highlight w:val="none"/>
                <w:lang w:eastAsia="zh-CN"/>
              </w:rPr>
            </w:pPr>
            <w:r>
              <w:rPr>
                <w:rFonts w:hint="eastAsia" w:cs="Times New Roman"/>
                <w:color w:val="auto"/>
                <w:sz w:val="21"/>
                <w:szCs w:val="21"/>
                <w:highlight w:val="none"/>
                <w:lang w:eastAsia="zh-CN"/>
              </w:rPr>
              <w:t>3.5.5</w:t>
            </w:r>
          </w:p>
        </w:tc>
        <w:tc>
          <w:tcPr>
            <w:tcW w:w="2591" w:type="dxa"/>
            <w:vAlign w:val="center"/>
          </w:tcPr>
          <w:p w14:paraId="47F4D58C">
            <w:pPr>
              <w:pStyle w:val="80"/>
              <w:spacing w:before="65" w:line="317" w:lineRule="auto"/>
              <w:ind w:right="112"/>
              <w:rPr>
                <w:rFonts w:cs="Times New Roman"/>
                <w:color w:val="auto"/>
                <w:sz w:val="21"/>
                <w:szCs w:val="21"/>
                <w:highlight w:val="none"/>
                <w:lang w:eastAsia="zh-CN"/>
              </w:rPr>
            </w:pPr>
            <w:r>
              <w:rPr>
                <w:rFonts w:hint="eastAsia" w:cs="Times New Roman"/>
                <w:color w:val="auto"/>
                <w:sz w:val="21"/>
                <w:szCs w:val="21"/>
                <w:highlight w:val="none"/>
                <w:lang w:eastAsia="zh-CN"/>
              </w:rPr>
              <w:t>拟委任的分项负责人汇总表应附资料</w:t>
            </w:r>
          </w:p>
        </w:tc>
        <w:tc>
          <w:tcPr>
            <w:tcW w:w="5857" w:type="dxa"/>
            <w:vAlign w:val="center"/>
          </w:tcPr>
          <w:p w14:paraId="46CE1BFF">
            <w:pPr>
              <w:pStyle w:val="80"/>
              <w:spacing w:before="33" w:line="300" w:lineRule="exact"/>
              <w:ind w:right="99"/>
              <w:rPr>
                <w:rFonts w:cs="Times New Roman"/>
                <w:color w:val="auto"/>
                <w:sz w:val="21"/>
                <w:szCs w:val="21"/>
                <w:highlight w:val="none"/>
                <w:lang w:eastAsia="zh-CN"/>
              </w:rPr>
            </w:pPr>
            <w:r>
              <w:rPr>
                <w:rFonts w:hint="eastAsia" w:cs="Times New Roman"/>
                <w:color w:val="auto"/>
                <w:sz w:val="21"/>
                <w:szCs w:val="21"/>
                <w:highlight w:val="none"/>
                <w:lang w:eastAsia="zh-CN"/>
              </w:rPr>
              <w:t>本项目不适用</w:t>
            </w:r>
          </w:p>
        </w:tc>
      </w:tr>
      <w:tr w14:paraId="620A97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096" w:type="dxa"/>
            <w:vAlign w:val="center"/>
          </w:tcPr>
          <w:p w14:paraId="11ACAFD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3.6.1</w:t>
            </w:r>
          </w:p>
        </w:tc>
        <w:tc>
          <w:tcPr>
            <w:tcW w:w="2591" w:type="dxa"/>
            <w:vAlign w:val="center"/>
          </w:tcPr>
          <w:p w14:paraId="23A698D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是否允许递交备选竞包方案</w:t>
            </w:r>
          </w:p>
        </w:tc>
        <w:tc>
          <w:tcPr>
            <w:tcW w:w="5857" w:type="dxa"/>
            <w:vAlign w:val="center"/>
          </w:tcPr>
          <w:p w14:paraId="0185DAC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☑不允许</w:t>
            </w:r>
          </w:p>
          <w:p w14:paraId="76F5ECD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□允许</w:t>
            </w:r>
          </w:p>
        </w:tc>
      </w:tr>
      <w:tr w14:paraId="4D2B5E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18" w:hRule="atLeast"/>
        </w:trPr>
        <w:tc>
          <w:tcPr>
            <w:tcW w:w="1096" w:type="dxa"/>
            <w:vAlign w:val="center"/>
          </w:tcPr>
          <w:p w14:paraId="296C522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3.7.3</w:t>
            </w:r>
          </w:p>
        </w:tc>
        <w:tc>
          <w:tcPr>
            <w:tcW w:w="2591" w:type="dxa"/>
            <w:vAlign w:val="center"/>
          </w:tcPr>
          <w:p w14:paraId="5AEF79B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竞包文件的制作要求</w:t>
            </w:r>
          </w:p>
        </w:tc>
        <w:tc>
          <w:tcPr>
            <w:tcW w:w="5857" w:type="dxa"/>
            <w:vAlign w:val="center"/>
          </w:tcPr>
          <w:p w14:paraId="4A6A6549">
            <w:pPr>
              <w:spacing w:line="360" w:lineRule="exact"/>
              <w:ind w:right="-50" w:rightChars="-24"/>
              <w:rPr>
                <w:color w:val="auto"/>
                <w:szCs w:val="21"/>
                <w:highlight w:val="none"/>
              </w:rPr>
            </w:pPr>
            <w:r>
              <w:rPr>
                <w:rFonts w:hint="eastAsia"/>
                <w:color w:val="auto"/>
                <w:szCs w:val="21"/>
                <w:highlight w:val="none"/>
              </w:rPr>
              <w:t>竞包文件应用不褪色的材料书写或打印。竞包文件格式中明确要求投标人法定代表人或其委托代理人签字之处，必须由相关人员亲笔签名，不得使用印章、签名章或其他电子制版签名代替；明确要求投标人加盖单位章之处，必须加盖单位章。</w:t>
            </w:r>
          </w:p>
          <w:p w14:paraId="1BC40CB7">
            <w:pPr>
              <w:pStyle w:val="14"/>
              <w:spacing w:before="0" w:line="300" w:lineRule="exact"/>
              <w:ind w:left="0" w:firstLine="0"/>
              <w:rPr>
                <w:rFonts w:ascii="宋体" w:hAnsi="宋体"/>
                <w:color w:val="auto"/>
                <w:szCs w:val="21"/>
                <w:highlight w:val="none"/>
              </w:rPr>
            </w:pPr>
            <w:r>
              <w:rPr>
                <w:rFonts w:hint="eastAsia"/>
                <w:color w:val="auto"/>
                <w:szCs w:val="21"/>
                <w:highlight w:val="none"/>
              </w:rPr>
              <w:t>竞包文件应尽量避免涂改、行间插字或删除。如果出现上述情况，改动之处应由投标人的法定代表人或其授权的代理人签字或盖单位章。</w:t>
            </w:r>
          </w:p>
        </w:tc>
      </w:tr>
      <w:tr w14:paraId="4ED8E52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049" w:hRule="atLeast"/>
        </w:trPr>
        <w:tc>
          <w:tcPr>
            <w:tcW w:w="1096" w:type="dxa"/>
            <w:vAlign w:val="center"/>
          </w:tcPr>
          <w:p w14:paraId="678E11E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4.2.2</w:t>
            </w:r>
          </w:p>
        </w:tc>
        <w:tc>
          <w:tcPr>
            <w:tcW w:w="2591" w:type="dxa"/>
            <w:vAlign w:val="center"/>
          </w:tcPr>
          <w:p w14:paraId="0BE48AE3">
            <w:pPr>
              <w:pStyle w:val="14"/>
              <w:spacing w:line="360" w:lineRule="exact"/>
              <w:ind w:left="0" w:firstLine="0"/>
              <w:rPr>
                <w:rFonts w:hAnsi="宋体"/>
                <w:color w:val="auto"/>
                <w:highlight w:val="none"/>
              </w:rPr>
            </w:pPr>
            <w:r>
              <w:rPr>
                <w:rFonts w:hint="eastAsia" w:hAnsi="宋体"/>
                <w:color w:val="auto"/>
                <w:highlight w:val="none"/>
              </w:rPr>
              <w:t>递交竞包文件方式和地点</w:t>
            </w:r>
          </w:p>
        </w:tc>
        <w:tc>
          <w:tcPr>
            <w:tcW w:w="5857" w:type="dxa"/>
            <w:vAlign w:val="center"/>
          </w:tcPr>
          <w:p w14:paraId="4245F0BC">
            <w:pPr>
              <w:pStyle w:val="14"/>
              <w:spacing w:before="0" w:line="360" w:lineRule="exact"/>
              <w:ind w:left="0" w:firstLine="0"/>
              <w:rPr>
                <w:rFonts w:hAnsi="宋体"/>
                <w:color w:val="auto"/>
                <w:highlight w:val="none"/>
              </w:rPr>
            </w:pPr>
            <w:r>
              <w:rPr>
                <w:rFonts w:hint="eastAsia" w:ascii="宋体" w:hAnsi="宋体" w:cs="宋体"/>
                <w:color w:val="auto"/>
                <w:highlight w:val="none"/>
              </w:rPr>
              <w:t>本项目采用纸质递交，递交地址为嵊州市官河南路699号(嵊州市国际会展中心)北楼三楼3号开标室（嵊州市公共资源交易中心）</w:t>
            </w:r>
          </w:p>
        </w:tc>
      </w:tr>
      <w:tr w14:paraId="339FBA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87" w:hRule="atLeast"/>
        </w:trPr>
        <w:tc>
          <w:tcPr>
            <w:tcW w:w="1096" w:type="dxa"/>
            <w:vAlign w:val="center"/>
          </w:tcPr>
          <w:p w14:paraId="62C2E12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4.2.3</w:t>
            </w:r>
          </w:p>
        </w:tc>
        <w:tc>
          <w:tcPr>
            <w:tcW w:w="2591" w:type="dxa"/>
            <w:vAlign w:val="center"/>
          </w:tcPr>
          <w:p w14:paraId="3DCE612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是否退还竞包文件</w:t>
            </w:r>
          </w:p>
        </w:tc>
        <w:tc>
          <w:tcPr>
            <w:tcW w:w="5857" w:type="dxa"/>
            <w:vAlign w:val="center"/>
          </w:tcPr>
          <w:p w14:paraId="4ADF24F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否</w:t>
            </w:r>
          </w:p>
        </w:tc>
      </w:tr>
      <w:tr w14:paraId="5E4A5A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449" w:hRule="atLeast"/>
        </w:trPr>
        <w:tc>
          <w:tcPr>
            <w:tcW w:w="1096" w:type="dxa"/>
            <w:vAlign w:val="center"/>
          </w:tcPr>
          <w:p w14:paraId="0739610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4.2.4</w:t>
            </w:r>
          </w:p>
        </w:tc>
        <w:tc>
          <w:tcPr>
            <w:tcW w:w="2591" w:type="dxa"/>
            <w:vAlign w:val="center"/>
          </w:tcPr>
          <w:p w14:paraId="76AFE63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竞包文件不予受理的情形</w:t>
            </w:r>
          </w:p>
        </w:tc>
        <w:tc>
          <w:tcPr>
            <w:tcW w:w="5857" w:type="dxa"/>
            <w:vAlign w:val="center"/>
          </w:tcPr>
          <w:p w14:paraId="1C5B697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1.逾期送达的或未送达指定地点的；</w:t>
            </w:r>
          </w:p>
          <w:p w14:paraId="17C8733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2.未按3.7.3要求制作的；</w:t>
            </w:r>
          </w:p>
          <w:p w14:paraId="4EEDEE0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3.竞包文件未在竞包截止时间前递交的。</w:t>
            </w:r>
          </w:p>
        </w:tc>
      </w:tr>
      <w:tr w14:paraId="280530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1E739D1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4.2.6</w:t>
            </w:r>
          </w:p>
        </w:tc>
        <w:tc>
          <w:tcPr>
            <w:tcW w:w="2591" w:type="dxa"/>
            <w:vAlign w:val="center"/>
          </w:tcPr>
          <w:p w14:paraId="4059048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延后竞包截止时间</w:t>
            </w:r>
          </w:p>
        </w:tc>
        <w:tc>
          <w:tcPr>
            <w:tcW w:w="5857" w:type="dxa"/>
            <w:vAlign w:val="center"/>
          </w:tcPr>
          <w:p w14:paraId="027D437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4.2.6项细化为：</w:t>
            </w:r>
          </w:p>
          <w:p w14:paraId="1EDD97D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4.2.6在特殊情况下，发包人如果决定延后竞包截止时间，原定竞包截止时间1天前，以补遗书形式通知所有竞包人延后竞包截止时间。在此情况下，发包人和竞包人的权利和义务相应延后至新的竞包截止时间。</w:t>
            </w:r>
          </w:p>
        </w:tc>
      </w:tr>
      <w:tr w14:paraId="0A85914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6D8C3FB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5.1</w:t>
            </w:r>
          </w:p>
        </w:tc>
        <w:tc>
          <w:tcPr>
            <w:tcW w:w="2591" w:type="dxa"/>
            <w:vAlign w:val="center"/>
          </w:tcPr>
          <w:p w14:paraId="56F361B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开标时间和地点</w:t>
            </w:r>
          </w:p>
        </w:tc>
        <w:tc>
          <w:tcPr>
            <w:tcW w:w="5857" w:type="dxa"/>
            <w:vAlign w:val="center"/>
          </w:tcPr>
          <w:p w14:paraId="674ADBB8">
            <w:pPr>
              <w:pStyle w:val="14"/>
              <w:snapToGrid w:val="0"/>
              <w:spacing w:line="360" w:lineRule="exact"/>
              <w:ind w:left="0" w:firstLine="0"/>
              <w:rPr>
                <w:rFonts w:ascii="宋体" w:hAnsi="宋体"/>
                <w:color w:val="auto"/>
                <w:szCs w:val="21"/>
                <w:highlight w:val="none"/>
              </w:rPr>
            </w:pPr>
            <w:r>
              <w:rPr>
                <w:rFonts w:hint="eastAsia" w:ascii="宋体" w:hAnsi="宋体"/>
                <w:color w:val="auto"/>
                <w:szCs w:val="21"/>
                <w:highlight w:val="none"/>
              </w:rPr>
              <w:t>采用双信封形式竞包文件的开标</w:t>
            </w:r>
          </w:p>
          <w:p w14:paraId="6EDE6585">
            <w:pPr>
              <w:widowControl/>
              <w:spacing w:line="360" w:lineRule="exact"/>
              <w:jc w:val="left"/>
              <w:rPr>
                <w:rFonts w:ascii="宋体" w:hAnsi="宋体"/>
                <w:color w:val="auto"/>
                <w:szCs w:val="21"/>
                <w:highlight w:val="none"/>
              </w:rPr>
            </w:pPr>
            <w:r>
              <w:rPr>
                <w:rFonts w:hint="eastAsia" w:ascii="宋体" w:hAnsi="宋体"/>
                <w:color w:val="auto"/>
                <w:szCs w:val="21"/>
                <w:highlight w:val="none"/>
              </w:rPr>
              <w:t>竞包文件第一个信封（商务及技术文件）开标时间：同竞包截止时间</w:t>
            </w:r>
          </w:p>
          <w:p w14:paraId="52D5A36E">
            <w:pPr>
              <w:widowControl/>
              <w:spacing w:line="360" w:lineRule="exact"/>
              <w:jc w:val="left"/>
              <w:rPr>
                <w:rFonts w:ascii="宋体" w:hAnsi="宋体"/>
                <w:color w:val="auto"/>
                <w:szCs w:val="21"/>
                <w:highlight w:val="none"/>
              </w:rPr>
            </w:pPr>
            <w:r>
              <w:rPr>
                <w:rFonts w:hint="eastAsia" w:ascii="宋体" w:hAnsi="宋体"/>
                <w:color w:val="auto"/>
                <w:szCs w:val="21"/>
                <w:highlight w:val="none"/>
              </w:rPr>
              <w:t>竞包文件第一个信封（商务及技术文件）开标地点：详见发包公告</w:t>
            </w:r>
            <w:r>
              <w:rPr>
                <w:rFonts w:ascii="宋体" w:hAnsi="宋体"/>
                <w:color w:val="auto"/>
                <w:szCs w:val="21"/>
                <w:highlight w:val="none"/>
              </w:rPr>
              <w:t>。</w:t>
            </w:r>
          </w:p>
          <w:p w14:paraId="149F9C2F">
            <w:pPr>
              <w:widowControl/>
              <w:spacing w:line="360" w:lineRule="exact"/>
              <w:jc w:val="left"/>
              <w:rPr>
                <w:rFonts w:ascii="宋体" w:hAnsi="宋体"/>
                <w:color w:val="auto"/>
                <w:szCs w:val="21"/>
                <w:highlight w:val="none"/>
              </w:rPr>
            </w:pPr>
            <w:r>
              <w:rPr>
                <w:rFonts w:hint="eastAsia" w:ascii="宋体" w:hAnsi="宋体"/>
                <w:color w:val="auto"/>
                <w:szCs w:val="21"/>
                <w:highlight w:val="none"/>
              </w:rPr>
              <w:t>竞包文件第二个信封（报价文件）开标时间：竞包文件第一个信封开标时通知</w:t>
            </w:r>
          </w:p>
          <w:p w14:paraId="3A8F6FFD">
            <w:pPr>
              <w:pStyle w:val="48"/>
              <w:spacing w:line="360" w:lineRule="exact"/>
              <w:rPr>
                <w:rFonts w:ascii="宋体" w:hAnsi="宋体"/>
                <w:color w:val="auto"/>
                <w:szCs w:val="21"/>
                <w:highlight w:val="none"/>
              </w:rPr>
            </w:pPr>
            <w:r>
              <w:rPr>
                <w:rFonts w:hint="eastAsia" w:ascii="宋体" w:hAnsi="宋体"/>
                <w:color w:val="auto"/>
                <w:szCs w:val="21"/>
                <w:highlight w:val="none"/>
              </w:rPr>
              <w:t>竞包文件第二个信封（报价文件）开标地点：详见发包公告。</w:t>
            </w:r>
          </w:p>
        </w:tc>
      </w:tr>
      <w:tr w14:paraId="262CDA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096" w:type="dxa"/>
            <w:vAlign w:val="center"/>
          </w:tcPr>
          <w:p w14:paraId="092EAAA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5.2</w:t>
            </w:r>
          </w:p>
        </w:tc>
        <w:tc>
          <w:tcPr>
            <w:tcW w:w="2591" w:type="dxa"/>
            <w:vAlign w:val="center"/>
          </w:tcPr>
          <w:p w14:paraId="2832CE5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开标程序</w:t>
            </w:r>
          </w:p>
        </w:tc>
        <w:tc>
          <w:tcPr>
            <w:tcW w:w="5857" w:type="dxa"/>
            <w:vAlign w:val="center"/>
          </w:tcPr>
          <w:p w14:paraId="64945598">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s="宋体"/>
                <w:color w:val="auto"/>
                <w:szCs w:val="21"/>
                <w:highlight w:val="none"/>
                <w:shd w:val="clear" w:color="auto" w:fill="FFFFFF"/>
              </w:rPr>
              <w:t>1、 如发现竞包</w:t>
            </w:r>
            <w:r>
              <w:rPr>
                <w:rFonts w:hint="eastAsia" w:ascii="宋体" w:hAnsi="宋体"/>
                <w:color w:val="auto"/>
                <w:szCs w:val="21"/>
                <w:highlight w:val="none"/>
                <w:shd w:val="clear" w:color="auto" w:fill="FFFFFF"/>
              </w:rPr>
              <w:t>文件有4.2.4项情况之一的，相应竞包文件不予开标。</w:t>
            </w:r>
          </w:p>
          <w:p w14:paraId="2E79D2A4">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2、第一信封（商务及技术文件）开标：</w:t>
            </w:r>
          </w:p>
          <w:p w14:paraId="544015BB">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（1）宣布开始</w:t>
            </w:r>
          </w:p>
          <w:p w14:paraId="67D951BE">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至竞包截止时间，发包人宣布开始开标，宣读开标项目名称等相关信息。</w:t>
            </w:r>
          </w:p>
          <w:p w14:paraId="5A4E70B7">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（2）公布竞包人数量</w:t>
            </w:r>
          </w:p>
          <w:p w14:paraId="6B71D45B">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发包人公布竞包人数量及竞包保证金缴纳情况。若递交竞包文件的单位数量少于3家，发包人公布递交竞包文件单位名称，当场宣布发包失败，结束开标。</w:t>
            </w:r>
          </w:p>
          <w:p w14:paraId="3FDBC7F7">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（3）公布第一信封开标结果</w:t>
            </w:r>
          </w:p>
          <w:p w14:paraId="22DFB25A">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发包人公布竞包人名单、竞包保证金的递交情况、服务期及其他内容，并记录在案，发包人代表、记录人等有关人员在开标记录上签字确认。</w:t>
            </w:r>
          </w:p>
          <w:p w14:paraId="2CA2BD46">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注：竞包文件第二信封（竞包报价）不予开封，在专家完成第一信封评审后，发包人才能组织进行第二信封开标。</w:t>
            </w:r>
          </w:p>
          <w:p w14:paraId="0DE16384">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（4）开标结束</w:t>
            </w:r>
          </w:p>
          <w:p w14:paraId="0086FCC6">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发包人宣布第一信封开标结束。</w:t>
            </w:r>
          </w:p>
          <w:p w14:paraId="08C68F40">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3、第二信封开标</w:t>
            </w:r>
          </w:p>
          <w:p w14:paraId="0E8B7443">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注：发包人将按照本章第5.1款规定的时间和地点组织对竞包文件第二信封的开标，具体程序：</w:t>
            </w:r>
          </w:p>
          <w:p w14:paraId="290EB543">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（1）宣布开始</w:t>
            </w:r>
          </w:p>
          <w:p w14:paraId="67843D8A">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发包人宣布第二信封开始开标，宣读开标项目名称等相关信息。</w:t>
            </w:r>
          </w:p>
          <w:p w14:paraId="3220A0DF">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（2）宣布第一信封评审通过名单</w:t>
            </w:r>
          </w:p>
          <w:p w14:paraId="13F0B08C">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宣布通过竞包文件第一信封（商务及技术文件）评审的竞包人名单。</w:t>
            </w:r>
          </w:p>
          <w:p w14:paraId="67EC5641">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（3）抽取系数（如有）</w:t>
            </w:r>
          </w:p>
          <w:p w14:paraId="16F00799">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（4）公布第二信封开标结果</w:t>
            </w:r>
          </w:p>
          <w:p w14:paraId="44643C60">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公布所有竞包文件第二信封（竞包报价）的竞包人名称、竞包报价及其他内容，并记录在案。</w:t>
            </w:r>
          </w:p>
          <w:p w14:paraId="579271EF">
            <w:pPr>
              <w:widowControl/>
              <w:adjustRightInd w:val="0"/>
              <w:snapToGrid w:val="0"/>
              <w:ind w:firstLine="420" w:firstLineChars="200"/>
              <w:jc w:val="left"/>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（5）开标结束</w:t>
            </w:r>
          </w:p>
          <w:p w14:paraId="4E64ADB4">
            <w:pPr>
              <w:widowControl/>
              <w:adjustRightInd w:val="0"/>
              <w:snapToGrid w:val="0"/>
              <w:ind w:firstLine="420" w:firstLineChars="200"/>
              <w:jc w:val="left"/>
              <w:rPr>
                <w:rFonts w:ascii="宋体" w:hAnsi="宋体" w:cs="宋体"/>
                <w:color w:val="auto"/>
                <w:szCs w:val="21"/>
                <w:highlight w:val="none"/>
                <w:shd w:val="clear" w:color="auto" w:fill="FFFFFF"/>
              </w:rPr>
            </w:pPr>
            <w:r>
              <w:rPr>
                <w:rFonts w:hint="eastAsia" w:ascii="宋体" w:hAnsi="宋体"/>
                <w:color w:val="auto"/>
                <w:szCs w:val="21"/>
                <w:highlight w:val="none"/>
                <w:shd w:val="clear" w:color="auto" w:fill="FFFFFF"/>
              </w:rPr>
              <w:t>发包人宣布本次开标结束。</w:t>
            </w:r>
          </w:p>
        </w:tc>
      </w:tr>
    </w:tbl>
    <w:p w14:paraId="72D41552">
      <w:pPr>
        <w:rPr>
          <w:rFonts w:ascii="宋体" w:hAnsi="宋体"/>
          <w:color w:val="auto"/>
          <w:szCs w:val="21"/>
          <w:highlight w:val="none"/>
        </w:rPr>
        <w:sectPr>
          <w:footnotePr>
            <w:numFmt w:val="decimalEnclosedCircleChinese"/>
            <w:numRestart w:val="eachSect"/>
          </w:footnotePr>
          <w:type w:val="continuous"/>
          <w:pgSz w:w="11911" w:h="16849"/>
          <w:pgMar w:top="1417" w:right="1361" w:bottom="1417" w:left="1361" w:header="850" w:footer="907" w:gutter="0"/>
          <w:cols w:space="720" w:num="1"/>
        </w:sectPr>
      </w:pPr>
    </w:p>
    <w:tbl>
      <w:tblPr>
        <w:tblStyle w:val="34"/>
        <w:tblW w:w="9544"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091"/>
        <w:gridCol w:w="2594"/>
        <w:gridCol w:w="5859"/>
      </w:tblGrid>
      <w:tr w14:paraId="200E4B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4" w:hRule="atLeast"/>
        </w:trPr>
        <w:tc>
          <w:tcPr>
            <w:tcW w:w="1091" w:type="dxa"/>
            <w:vAlign w:val="center"/>
          </w:tcPr>
          <w:p w14:paraId="309B2D0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6.1.1</w:t>
            </w:r>
          </w:p>
        </w:tc>
        <w:tc>
          <w:tcPr>
            <w:tcW w:w="2594" w:type="dxa"/>
            <w:vAlign w:val="center"/>
          </w:tcPr>
          <w:p w14:paraId="7247C1D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评标委员会的组建</w:t>
            </w:r>
          </w:p>
        </w:tc>
        <w:tc>
          <w:tcPr>
            <w:tcW w:w="5859" w:type="dxa"/>
            <w:vAlign w:val="center"/>
          </w:tcPr>
          <w:p w14:paraId="748AD36D">
            <w:pPr>
              <w:pStyle w:val="14"/>
              <w:spacing w:line="360" w:lineRule="exact"/>
              <w:ind w:left="0" w:firstLine="0"/>
              <w:jc w:val="left"/>
              <w:rPr>
                <w:rFonts w:ascii="宋体" w:hAnsi="宋体"/>
                <w:color w:val="auto"/>
                <w:szCs w:val="21"/>
                <w:highlight w:val="none"/>
              </w:rPr>
            </w:pPr>
            <w:r>
              <w:rPr>
                <w:rFonts w:hint="eastAsia" w:ascii="宋体" w:hAnsi="宋体"/>
                <w:color w:val="auto"/>
                <w:szCs w:val="21"/>
                <w:highlight w:val="none"/>
              </w:rPr>
              <w:t>评标委员会构成：5人，其中：专家</w:t>
            </w:r>
            <w:r>
              <w:rPr>
                <w:rFonts w:hint="eastAsia" w:ascii="宋体" w:hAnsi="宋体"/>
                <w:color w:val="auto"/>
                <w:szCs w:val="21"/>
                <w:highlight w:val="none"/>
                <w:lang w:val="en-US" w:eastAsia="zh-CN"/>
              </w:rPr>
              <w:t>5</w:t>
            </w:r>
            <w:r>
              <w:rPr>
                <w:rFonts w:hint="eastAsia" w:ascii="宋体" w:hAnsi="宋体"/>
                <w:color w:val="auto"/>
                <w:szCs w:val="21"/>
                <w:highlight w:val="none"/>
              </w:rPr>
              <w:t>人；</w:t>
            </w:r>
          </w:p>
        </w:tc>
      </w:tr>
      <w:tr w14:paraId="5BB3C6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79" w:hRule="atLeast"/>
        </w:trPr>
        <w:tc>
          <w:tcPr>
            <w:tcW w:w="1091" w:type="dxa"/>
            <w:vAlign w:val="center"/>
          </w:tcPr>
          <w:p w14:paraId="3BC8863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6.3.2</w:t>
            </w:r>
          </w:p>
        </w:tc>
        <w:tc>
          <w:tcPr>
            <w:tcW w:w="2594" w:type="dxa"/>
            <w:vAlign w:val="center"/>
          </w:tcPr>
          <w:p w14:paraId="0CCD00F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评标委员会推荐中包候选人的人数</w:t>
            </w:r>
          </w:p>
        </w:tc>
        <w:tc>
          <w:tcPr>
            <w:tcW w:w="5859" w:type="dxa"/>
            <w:vAlign w:val="center"/>
          </w:tcPr>
          <w:p w14:paraId="1C126457">
            <w:pPr>
              <w:pStyle w:val="14"/>
              <w:spacing w:line="360" w:lineRule="exact"/>
              <w:ind w:left="0" w:firstLine="0"/>
              <w:jc w:val="left"/>
              <w:rPr>
                <w:rFonts w:ascii="宋体" w:hAnsi="宋体"/>
                <w:color w:val="auto"/>
                <w:szCs w:val="21"/>
                <w:highlight w:val="none"/>
              </w:rPr>
            </w:pPr>
            <w:r>
              <w:rPr>
                <w:rFonts w:hint="eastAsia" w:ascii="宋体" w:hAnsi="宋体"/>
                <w:color w:val="auto"/>
                <w:szCs w:val="21"/>
                <w:highlight w:val="none"/>
              </w:rPr>
              <w:t>推荐的中包候选人的人数为1人</w:t>
            </w:r>
          </w:p>
        </w:tc>
      </w:tr>
      <w:tr w14:paraId="38D6C5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24A22CA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7.1</w:t>
            </w:r>
          </w:p>
        </w:tc>
        <w:tc>
          <w:tcPr>
            <w:tcW w:w="2594" w:type="dxa"/>
            <w:vAlign w:val="center"/>
          </w:tcPr>
          <w:p w14:paraId="4C38BCB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中包候选人公示媒介及期限</w:t>
            </w:r>
          </w:p>
        </w:tc>
        <w:tc>
          <w:tcPr>
            <w:tcW w:w="5859" w:type="dxa"/>
            <w:vAlign w:val="center"/>
          </w:tcPr>
          <w:p w14:paraId="5248109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公示媒介：</w:t>
            </w:r>
            <w:r>
              <w:rPr>
                <w:rFonts w:hint="eastAsia" w:ascii="宋体" w:hAnsi="宋体" w:cs="宋体"/>
                <w:color w:val="auto"/>
                <w:szCs w:val="21"/>
                <w:highlight w:val="none"/>
                <w:u w:val="single"/>
              </w:rPr>
              <w:t>嵊州市公共资源交易网</w:t>
            </w:r>
          </w:p>
          <w:p w14:paraId="0C171AC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公示期限：不少于3日。开始的当日不计入，自次日开始计算，如遇国家法定休假日，应顺延至法定休假日后第1个工作日。</w:t>
            </w:r>
          </w:p>
          <w:p w14:paraId="39552EC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公示内容：</w:t>
            </w:r>
          </w:p>
          <w:p w14:paraId="1C6325A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 xml:space="preserve">（1）中包候选人名称、竞包报价，对设计质量要求、安全目标和设计服务期限的响应情况； </w:t>
            </w:r>
          </w:p>
          <w:p w14:paraId="57938F4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（2）中包候选人在竞包文件中承诺的项目负责人姓名、个人业绩、相关证书名称和编号；</w:t>
            </w:r>
          </w:p>
          <w:p w14:paraId="033F2E8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（3）中包候选人在竞包文件中填报的项目业绩；</w:t>
            </w:r>
          </w:p>
          <w:p w14:paraId="63C5CE2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（4）被否决竞包的竞包人名称、否决依据和原因；</w:t>
            </w:r>
          </w:p>
          <w:p w14:paraId="722665A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（5）提出异议的渠道和方式；</w:t>
            </w:r>
          </w:p>
          <w:p w14:paraId="45C4A19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（6） /。</w:t>
            </w:r>
          </w:p>
        </w:tc>
      </w:tr>
      <w:tr w14:paraId="6F563F9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244A1FB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7.4</w:t>
            </w:r>
          </w:p>
        </w:tc>
        <w:tc>
          <w:tcPr>
            <w:tcW w:w="2594" w:type="dxa"/>
            <w:vAlign w:val="center"/>
          </w:tcPr>
          <w:p w14:paraId="57D685B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定标</w:t>
            </w:r>
          </w:p>
        </w:tc>
        <w:tc>
          <w:tcPr>
            <w:tcW w:w="5859" w:type="dxa"/>
            <w:vAlign w:val="center"/>
          </w:tcPr>
          <w:p w14:paraId="7814FE6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是否授权评标委员会确定中包人：</w:t>
            </w:r>
          </w:p>
          <w:p w14:paraId="52C1D81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w:t>
            </w:r>
          </w:p>
          <w:p w14:paraId="50826B4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☑否</w:t>
            </w:r>
          </w:p>
          <w:p w14:paraId="0894E8EA">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是否采用评定分离：</w:t>
            </w:r>
          </w:p>
          <w:p w14:paraId="7CA7110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 根据《浙江省工程建设项目招标投标“评定分离”操作指引（试行）》（浙发改公管〔2023〕256 号）确定中包人。定标办法详见附录6。</w:t>
            </w:r>
          </w:p>
          <w:p w14:paraId="114A596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☑否</w:t>
            </w:r>
          </w:p>
        </w:tc>
      </w:tr>
      <w:tr w14:paraId="509D37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7" w:hRule="atLeast"/>
        </w:trPr>
        <w:tc>
          <w:tcPr>
            <w:tcW w:w="1091" w:type="dxa"/>
            <w:vAlign w:val="center"/>
          </w:tcPr>
          <w:p w14:paraId="7B8F58E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7.6</w:t>
            </w:r>
          </w:p>
        </w:tc>
        <w:tc>
          <w:tcPr>
            <w:tcW w:w="2594" w:type="dxa"/>
            <w:vAlign w:val="center"/>
          </w:tcPr>
          <w:p w14:paraId="4F6FE44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中包结果公告媒介及期限</w:t>
            </w:r>
          </w:p>
        </w:tc>
        <w:tc>
          <w:tcPr>
            <w:tcW w:w="5859" w:type="dxa"/>
            <w:vAlign w:val="center"/>
          </w:tcPr>
          <w:p w14:paraId="23EDE15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公告媒介：</w:t>
            </w:r>
            <w:r>
              <w:rPr>
                <w:rFonts w:hint="eastAsia" w:ascii="宋体" w:hAnsi="宋体" w:cs="宋体"/>
                <w:color w:val="auto"/>
                <w:szCs w:val="21"/>
                <w:highlight w:val="none"/>
                <w:u w:val="single"/>
              </w:rPr>
              <w:t>嵊州市公共资源交易网</w:t>
            </w:r>
          </w:p>
          <w:p w14:paraId="70982D6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公告期限：不少于3日。开始的当日不计入，自次日开始计算，如遇国家法定休假日，应顺延至法定休假日后第1个工作日。</w:t>
            </w:r>
          </w:p>
        </w:tc>
      </w:tr>
      <w:tr w14:paraId="76669C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71" w:hRule="atLeast"/>
        </w:trPr>
        <w:tc>
          <w:tcPr>
            <w:tcW w:w="1091" w:type="dxa"/>
            <w:vAlign w:val="center"/>
          </w:tcPr>
          <w:p w14:paraId="6FFC595F">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7.7</w:t>
            </w:r>
          </w:p>
        </w:tc>
        <w:tc>
          <w:tcPr>
            <w:tcW w:w="2594" w:type="dxa"/>
            <w:vAlign w:val="center"/>
          </w:tcPr>
          <w:p w14:paraId="460C682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技术成果经济补偿</w:t>
            </w:r>
          </w:p>
        </w:tc>
        <w:tc>
          <w:tcPr>
            <w:tcW w:w="5859" w:type="dxa"/>
            <w:vAlign w:val="center"/>
          </w:tcPr>
          <w:p w14:paraId="5B4D606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☑不补偿</w:t>
            </w:r>
          </w:p>
        </w:tc>
      </w:tr>
      <w:tr w14:paraId="59EB05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3" w:hRule="atLeast"/>
        </w:trPr>
        <w:tc>
          <w:tcPr>
            <w:tcW w:w="1091" w:type="dxa"/>
            <w:vAlign w:val="center"/>
          </w:tcPr>
          <w:p w14:paraId="3D9368F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7.8.1</w:t>
            </w:r>
          </w:p>
        </w:tc>
        <w:tc>
          <w:tcPr>
            <w:tcW w:w="2594" w:type="dxa"/>
            <w:vAlign w:val="center"/>
          </w:tcPr>
          <w:p w14:paraId="500463F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履约保证金</w:t>
            </w:r>
          </w:p>
        </w:tc>
        <w:tc>
          <w:tcPr>
            <w:tcW w:w="5859" w:type="dxa"/>
            <w:vAlign w:val="center"/>
          </w:tcPr>
          <w:p w14:paraId="11EF85D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履约保证金金额：签约合同价的 2%（不得超过2%）</w:t>
            </w:r>
          </w:p>
          <w:p w14:paraId="72E7212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履约保证金形式：现金、银行保函或者保险公司保证保险保单或融资担保公司保函</w:t>
            </w:r>
          </w:p>
          <w:p w14:paraId="0692BD7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若采用银行保函，出具履约担保的银行级别：国有或股份制商业银行县（区、市）级及以上银行；。</w:t>
            </w:r>
          </w:p>
          <w:p w14:paraId="4FB7A7F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若采用保险公司保证保险保单，应具有相应的偿付能力，并事前征得发包人同意。</w:t>
            </w:r>
          </w:p>
          <w:p w14:paraId="46D3198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若采用融资担保公司保函，应具有相应的偿付能力，并事前征得发包人同意。</w:t>
            </w:r>
          </w:p>
        </w:tc>
      </w:tr>
      <w:tr w14:paraId="7B2964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42C7AFE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8.5.1</w:t>
            </w:r>
          </w:p>
        </w:tc>
        <w:tc>
          <w:tcPr>
            <w:tcW w:w="2594" w:type="dxa"/>
            <w:vAlign w:val="center"/>
          </w:tcPr>
          <w:p w14:paraId="0E89218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监督部门</w:t>
            </w:r>
          </w:p>
        </w:tc>
        <w:tc>
          <w:tcPr>
            <w:tcW w:w="5859" w:type="dxa"/>
            <w:vAlign w:val="center"/>
          </w:tcPr>
          <w:p w14:paraId="41BC120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监督部门的联系方式：</w:t>
            </w:r>
          </w:p>
          <w:p w14:paraId="29BAC1C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监督部门：嵊州市交通运输局</w:t>
            </w:r>
          </w:p>
          <w:p w14:paraId="252E542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地    址：嵊州大道108号</w:t>
            </w:r>
          </w:p>
          <w:p w14:paraId="4384F838">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 xml:space="preserve">电    话：0575-83031799  </w:t>
            </w:r>
          </w:p>
          <w:p w14:paraId="7A3B4E2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邮政编码：312400</w:t>
            </w:r>
          </w:p>
        </w:tc>
      </w:tr>
      <w:tr w14:paraId="2C5C67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388514A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9</w:t>
            </w:r>
          </w:p>
        </w:tc>
        <w:tc>
          <w:tcPr>
            <w:tcW w:w="2594" w:type="dxa"/>
            <w:vAlign w:val="center"/>
          </w:tcPr>
          <w:p w14:paraId="39C8D33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是否采用电子发包竞包</w:t>
            </w:r>
          </w:p>
        </w:tc>
        <w:tc>
          <w:tcPr>
            <w:tcW w:w="5859" w:type="dxa"/>
            <w:vAlign w:val="center"/>
          </w:tcPr>
          <w:p w14:paraId="51488DF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否</w:t>
            </w:r>
          </w:p>
          <w:p w14:paraId="65F12BF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□是</w:t>
            </w:r>
          </w:p>
        </w:tc>
      </w:tr>
      <w:tr w14:paraId="392AB6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1D0E0DDD">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10.2</w:t>
            </w:r>
          </w:p>
        </w:tc>
        <w:tc>
          <w:tcPr>
            <w:tcW w:w="2594" w:type="dxa"/>
            <w:vAlign w:val="center"/>
          </w:tcPr>
          <w:p w14:paraId="4EE5AD51">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否决竞包的情形</w:t>
            </w:r>
          </w:p>
        </w:tc>
        <w:tc>
          <w:tcPr>
            <w:tcW w:w="5859" w:type="dxa"/>
          </w:tcPr>
          <w:p w14:paraId="5552BB1C">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10.2否决投标的情形</w:t>
            </w:r>
          </w:p>
          <w:p w14:paraId="451C4993">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10.2.1 凡评标委员会拟作出否决投标决定的，应先向投标人进行书面询问核实。未进行询问核实程序的，不得做出否决投标决定，投标人放弃接受询问核实机会的除外。投标人应自行关注系统中评标委员会发出的澄清并及时答复，在规定的时限内投标人不参加核实或不予答复的，视为放弃接受询问核实机会。</w:t>
            </w:r>
          </w:p>
          <w:p w14:paraId="2D5908A2">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10.2.2 竞包文件存在以下情形的，由评标委员会审核并经过询标程序，其竞包文件将被否决：</w:t>
            </w:r>
          </w:p>
          <w:p w14:paraId="26DFCE6A">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1、第一个信封形式评审与响应性评审未通过；</w:t>
            </w:r>
          </w:p>
          <w:p w14:paraId="53B24417">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2、第二个信封形式评审与响应性评审未通过；</w:t>
            </w:r>
          </w:p>
          <w:p w14:paraId="71965A15">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3、资格评审未通过；</w:t>
            </w:r>
          </w:p>
          <w:p w14:paraId="75B1BED1">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4、投标报价有算术错误的，评标委员会按评审原则对投标报价进行修正，投标人不接受修正价格的；</w:t>
            </w:r>
          </w:p>
          <w:p w14:paraId="3991F421">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5、修正后的最终投标报价超过最高投标限价的；</w:t>
            </w:r>
          </w:p>
          <w:p w14:paraId="27CC23F9">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6、评标委员会发现投标人的报价明显低于其他投标报价，使得其投标报价可能低于其个别成本的，应要求该投标人作出书面说明并提供相应的证明材料。投标人不能合理说明或不能提供相应证明材料的；</w:t>
            </w:r>
          </w:p>
          <w:p w14:paraId="0AAB35FE">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7、在评标过程中，评标委员会应查询“浙江省交通运输信用综合管理服务系统”，对投标人的资质、业绩、主要人员资历和目前在岗情况、信用等级等信息进行核实。若竞包文件载明的信息与“浙江省交通运输信用综合管理服务系统”发布的信息不符，使得投标人的资格条件不符合招标文件规定的；</w:t>
            </w:r>
          </w:p>
          <w:p w14:paraId="2311234F">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8、投标人存在串通投标、弄虚作假、行贿等违法行为的；</w:t>
            </w:r>
          </w:p>
          <w:p w14:paraId="218478C4">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9、投标人对被限制投标并在处罚期内的情况隐瞒不报的，对有行贿行为未构成犯罪的情况隐瞒不报的；</w:t>
            </w:r>
          </w:p>
          <w:p w14:paraId="7141792E">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10、未按投标人须知3.7.3制作竞包文件。</w:t>
            </w:r>
          </w:p>
          <w:p w14:paraId="51FA791D">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10.2.3 除本款规定以外，招标文件中其他条款均不得作为否决竞包文件的依据。</w:t>
            </w:r>
          </w:p>
          <w:p w14:paraId="1D0176BD">
            <w:pPr>
              <w:pStyle w:val="14"/>
              <w:spacing w:before="0" w:line="300" w:lineRule="exact"/>
              <w:ind w:left="0" w:firstLine="0"/>
              <w:rPr>
                <w:rFonts w:ascii="宋体" w:hAnsi="宋体"/>
                <w:color w:val="auto"/>
                <w:szCs w:val="21"/>
                <w:highlight w:val="none"/>
              </w:rPr>
            </w:pPr>
            <w:r>
              <w:rPr>
                <w:rFonts w:hint="eastAsia" w:ascii="宋体" w:hAnsi="宋体"/>
                <w:color w:val="auto"/>
                <w:szCs w:val="21"/>
                <w:highlight w:val="none"/>
              </w:rPr>
              <w:t xml:space="preserve">中标人约谈：根据嵊政办〔2018〕104号文件《嵊州市政府投资工程建设项目中标人约谈制度》的有关规定，中标人的项目负责人应在中标公示期满后至签订合同日止接受招标人的约谈。中标人无正当理由未在规定时间参加约谈的，招标人将报行业主管部门和政务服务中心（公管办），由行业主管部门和政务服务中心（公管办）办对中标人作出考核扣分和日常考评扣分处理。 </w:t>
            </w:r>
          </w:p>
        </w:tc>
      </w:tr>
      <w:tr w14:paraId="41B0CD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Merge w:val="restart"/>
            <w:vAlign w:val="center"/>
          </w:tcPr>
          <w:p w14:paraId="4090EF94">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10.3</w:t>
            </w:r>
          </w:p>
        </w:tc>
        <w:tc>
          <w:tcPr>
            <w:tcW w:w="2594" w:type="dxa"/>
            <w:vMerge w:val="restart"/>
            <w:vAlign w:val="center"/>
          </w:tcPr>
          <w:p w14:paraId="0D7FF94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其他</w:t>
            </w:r>
          </w:p>
        </w:tc>
        <w:tc>
          <w:tcPr>
            <w:tcW w:w="5859" w:type="dxa"/>
            <w:shd w:val="clear" w:color="auto" w:fill="auto"/>
            <w:vAlign w:val="center"/>
          </w:tcPr>
          <w:p w14:paraId="4774CB02">
            <w:pPr>
              <w:pStyle w:val="14"/>
              <w:spacing w:line="360" w:lineRule="exact"/>
              <w:ind w:left="0" w:right="-50" w:rightChars="-24" w:firstLine="0"/>
              <w:rPr>
                <w:rFonts w:ascii="宋体" w:hAnsi="宋体"/>
                <w:color w:val="auto"/>
                <w:szCs w:val="21"/>
                <w:highlight w:val="none"/>
              </w:rPr>
            </w:pPr>
            <w:r>
              <w:rPr>
                <w:rFonts w:hint="eastAsia" w:ascii="宋体" w:hAnsi="宋体"/>
                <w:color w:val="auto"/>
                <w:szCs w:val="21"/>
                <w:highlight w:val="none"/>
              </w:rPr>
              <w:t>投诉：投标人或者其他利害关系人对评标结果有异议的，应当在中标候选人公示期间提出。招标人应当自收到异议之日起 3 日内作出答复。</w:t>
            </w:r>
          </w:p>
          <w:p w14:paraId="10FC575F">
            <w:pPr>
              <w:pStyle w:val="14"/>
              <w:spacing w:line="360" w:lineRule="exact"/>
              <w:ind w:left="0" w:right="-50" w:rightChars="-24" w:firstLine="0"/>
              <w:rPr>
                <w:rFonts w:ascii="宋体" w:hAnsi="宋体"/>
                <w:color w:val="auto"/>
                <w:szCs w:val="21"/>
                <w:highlight w:val="none"/>
              </w:rPr>
            </w:pPr>
            <w:r>
              <w:rPr>
                <w:rFonts w:hint="eastAsia" w:ascii="宋体" w:hAnsi="宋体"/>
                <w:color w:val="auto"/>
                <w:szCs w:val="21"/>
                <w:highlight w:val="none"/>
              </w:rPr>
              <w:t>招标人未按期答复异议事项，或投标人（或其他利害关系人）对招标人的答复不满意的，或投标人（或其他利害关系人）认为本次招标活动违反法律、法规和规章规定的，有权向有关行政监督部门投诉。投诉应按《中华人民共和国招标投标法实施条例》及《工程建设项目招标投标活动投诉处理办法》（国家七部委令 2004 年第11 号）办理。</w:t>
            </w:r>
          </w:p>
          <w:p w14:paraId="4A75DA08">
            <w:pPr>
              <w:pStyle w:val="14"/>
              <w:spacing w:line="360" w:lineRule="exact"/>
              <w:ind w:left="0" w:right="-50" w:rightChars="-24" w:firstLine="0"/>
              <w:rPr>
                <w:rFonts w:ascii="宋体" w:hAnsi="宋体"/>
                <w:color w:val="auto"/>
                <w:szCs w:val="21"/>
                <w:highlight w:val="none"/>
              </w:rPr>
            </w:pPr>
            <w:r>
              <w:rPr>
                <w:rFonts w:hint="eastAsia" w:ascii="宋体" w:hAnsi="宋体"/>
                <w:color w:val="auto"/>
                <w:szCs w:val="21"/>
                <w:highlight w:val="none"/>
              </w:rPr>
              <w:t xml:space="preserve">监督部门及联系方式见“投标人须知前附表”。 </w:t>
            </w:r>
          </w:p>
        </w:tc>
      </w:tr>
      <w:tr w14:paraId="28D160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Merge w:val="continue"/>
            <w:vAlign w:val="center"/>
          </w:tcPr>
          <w:p w14:paraId="024B0599">
            <w:pPr>
              <w:pStyle w:val="14"/>
              <w:spacing w:line="360" w:lineRule="exact"/>
              <w:ind w:left="0" w:firstLine="0"/>
              <w:rPr>
                <w:rFonts w:ascii="宋体" w:hAnsi="宋体"/>
                <w:color w:val="auto"/>
                <w:szCs w:val="21"/>
                <w:highlight w:val="none"/>
              </w:rPr>
            </w:pPr>
          </w:p>
        </w:tc>
        <w:tc>
          <w:tcPr>
            <w:tcW w:w="2594" w:type="dxa"/>
            <w:vMerge w:val="continue"/>
            <w:vAlign w:val="center"/>
          </w:tcPr>
          <w:p w14:paraId="3F36F97A">
            <w:pPr>
              <w:pStyle w:val="14"/>
              <w:spacing w:line="360" w:lineRule="exact"/>
              <w:ind w:left="0" w:firstLine="0"/>
              <w:rPr>
                <w:rFonts w:ascii="宋体" w:hAnsi="宋体"/>
                <w:color w:val="auto"/>
                <w:szCs w:val="21"/>
                <w:highlight w:val="none"/>
              </w:rPr>
            </w:pPr>
          </w:p>
        </w:tc>
        <w:tc>
          <w:tcPr>
            <w:tcW w:w="5859" w:type="dxa"/>
            <w:shd w:val="clear" w:color="auto" w:fill="auto"/>
            <w:vAlign w:val="center"/>
          </w:tcPr>
          <w:p w14:paraId="6B251332">
            <w:pPr>
              <w:pStyle w:val="14"/>
              <w:spacing w:line="360" w:lineRule="exact"/>
              <w:ind w:left="0" w:right="-50" w:rightChars="-24" w:firstLine="0"/>
              <w:rPr>
                <w:rFonts w:ascii="宋体" w:hAnsi="宋体"/>
                <w:color w:val="auto"/>
                <w:szCs w:val="21"/>
                <w:highlight w:val="none"/>
              </w:rPr>
            </w:pPr>
            <w:r>
              <w:rPr>
                <w:rFonts w:hint="eastAsia" w:ascii="宋体" w:hAnsi="宋体"/>
                <w:color w:val="auto"/>
                <w:szCs w:val="21"/>
                <w:highlight w:val="none"/>
              </w:rPr>
              <w:t>开标时要求投标人提供的资料：取消证件核验。投标人应确保竞包文件中相关证件复印件完整、清晰可辨。</w:t>
            </w:r>
          </w:p>
        </w:tc>
      </w:tr>
      <w:tr w14:paraId="11BCDA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1" w:hRule="atLeast"/>
        </w:trPr>
        <w:tc>
          <w:tcPr>
            <w:tcW w:w="1091" w:type="dxa"/>
            <w:vAlign w:val="center"/>
          </w:tcPr>
          <w:p w14:paraId="2B5EFB13">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10.4</w:t>
            </w:r>
          </w:p>
        </w:tc>
        <w:tc>
          <w:tcPr>
            <w:tcW w:w="2594" w:type="dxa"/>
            <w:vAlign w:val="center"/>
          </w:tcPr>
          <w:p w14:paraId="43AEFCB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约谈</w:t>
            </w:r>
          </w:p>
        </w:tc>
        <w:tc>
          <w:tcPr>
            <w:tcW w:w="5859" w:type="dxa"/>
            <w:vAlign w:val="center"/>
          </w:tcPr>
          <w:p w14:paraId="4FBC2D16">
            <w:pPr>
              <w:pStyle w:val="14"/>
              <w:spacing w:before="0" w:line="300" w:lineRule="exact"/>
              <w:ind w:left="0" w:firstLine="0"/>
              <w:rPr>
                <w:rFonts w:hAnsi="宋体"/>
                <w:color w:val="auto"/>
                <w:highlight w:val="none"/>
              </w:rPr>
            </w:pPr>
            <w:r>
              <w:rPr>
                <w:rFonts w:hint="eastAsia" w:hAnsi="宋体"/>
                <w:color w:val="auto"/>
                <w:highlight w:val="none"/>
              </w:rPr>
              <w:t>根据嵊政办(2018)104号文件《嵊州市政府投资工程建设项目中标人约谈制度》的有关规定，发包人在中标公示期满后至签订合同日止对中标人进行约谈中标人无正当理由未在规定时间参加约谈的，发包人应及时报行业主管部门和市公管办，由行业主管部门和公管办作出考核扣分和日常考评扣分处理。</w:t>
            </w:r>
          </w:p>
        </w:tc>
      </w:tr>
    </w:tbl>
    <w:p w14:paraId="1B99500A">
      <w:pPr>
        <w:pStyle w:val="14"/>
        <w:jc w:val="right"/>
        <w:rPr>
          <w:rFonts w:ascii="宋体" w:hAnsi="宋体"/>
          <w:color w:val="auto"/>
          <w:szCs w:val="21"/>
          <w:highlight w:val="none"/>
        </w:rPr>
      </w:pPr>
      <w:r>
        <w:rPr>
          <w:rFonts w:hint="eastAsia" w:ascii="宋体" w:hAnsi="宋体"/>
          <w:color w:val="auto"/>
          <w:szCs w:val="21"/>
          <w:highlight w:val="none"/>
        </w:rPr>
        <w:br w:type="page"/>
      </w:r>
    </w:p>
    <w:p w14:paraId="06A0F959">
      <w:pPr>
        <w:pStyle w:val="14"/>
        <w:rPr>
          <w:rFonts w:ascii="宋体" w:hAnsi="宋体"/>
          <w:color w:val="auto"/>
          <w:szCs w:val="21"/>
          <w:highlight w:val="none"/>
        </w:rPr>
      </w:pPr>
      <w:r>
        <w:rPr>
          <w:rFonts w:hint="eastAsia" w:ascii="宋体" w:hAnsi="宋体"/>
          <w:color w:val="auto"/>
          <w:szCs w:val="21"/>
          <w:highlight w:val="none"/>
        </w:rPr>
        <w:t>附录</w:t>
      </w:r>
    </w:p>
    <w:p w14:paraId="2CA75513">
      <w:pPr>
        <w:pStyle w:val="69"/>
        <w:spacing w:line="500" w:lineRule="exact"/>
        <w:jc w:val="center"/>
        <w:rPr>
          <w:rFonts w:ascii="宋体" w:hAnsi="宋体"/>
          <w:color w:val="auto"/>
          <w:sz w:val="21"/>
          <w:szCs w:val="21"/>
          <w:highlight w:val="none"/>
        </w:rPr>
      </w:pPr>
      <w:bookmarkStart w:id="49" w:name="_Toc28703"/>
      <w:bookmarkStart w:id="50" w:name="_Toc1859"/>
      <w:bookmarkStart w:id="51" w:name="_Toc29637"/>
      <w:bookmarkStart w:id="52" w:name="_Toc15091"/>
      <w:bookmarkStart w:id="53" w:name="_Toc30995"/>
      <w:bookmarkStart w:id="54" w:name="_Toc11096"/>
      <w:r>
        <w:rPr>
          <w:rFonts w:hint="eastAsia" w:ascii="宋体" w:hAnsi="宋体"/>
          <w:color w:val="auto"/>
          <w:sz w:val="21"/>
          <w:szCs w:val="21"/>
          <w:highlight w:val="none"/>
        </w:rPr>
        <w:t xml:space="preserve">附录1 </w:t>
      </w:r>
      <w:bookmarkStart w:id="55" w:name="_Hlk40654568"/>
      <w:r>
        <w:rPr>
          <w:rFonts w:hint="eastAsia" w:ascii="宋体" w:hAnsi="宋体"/>
          <w:color w:val="auto"/>
          <w:sz w:val="21"/>
          <w:szCs w:val="21"/>
          <w:highlight w:val="none"/>
        </w:rPr>
        <w:t>资格审查条件（资质最低条件）</w:t>
      </w:r>
      <w:bookmarkEnd w:id="49"/>
      <w:bookmarkEnd w:id="50"/>
      <w:bookmarkEnd w:id="51"/>
      <w:bookmarkEnd w:id="52"/>
      <w:bookmarkEnd w:id="53"/>
      <w:bookmarkEnd w:id="54"/>
      <w:bookmarkEnd w:id="55"/>
    </w:p>
    <w:p w14:paraId="70292522">
      <w:pPr>
        <w:pStyle w:val="14"/>
        <w:jc w:val="center"/>
        <w:rPr>
          <w:rFonts w:ascii="宋体" w:hAnsi="宋体"/>
          <w:color w:val="auto"/>
          <w:szCs w:val="21"/>
          <w:highlight w:val="none"/>
        </w:rPr>
      </w:pPr>
      <w:bookmarkStart w:id="56" w:name="_Hlk40655453"/>
    </w:p>
    <w:tbl>
      <w:tblPr>
        <w:tblStyle w:val="34"/>
        <w:tblW w:w="9356"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7371"/>
      </w:tblGrid>
      <w:tr w14:paraId="17563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0" w:hRule="atLeast"/>
        </w:trPr>
        <w:tc>
          <w:tcPr>
            <w:tcW w:w="1985" w:type="dxa"/>
            <w:vAlign w:val="center"/>
          </w:tcPr>
          <w:p w14:paraId="4DC759C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标段</w:t>
            </w:r>
          </w:p>
        </w:tc>
        <w:tc>
          <w:tcPr>
            <w:tcW w:w="7371" w:type="dxa"/>
            <w:vAlign w:val="center"/>
          </w:tcPr>
          <w:p w14:paraId="009581D7">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企业资质等级要求</w:t>
            </w:r>
          </w:p>
        </w:tc>
      </w:tr>
      <w:tr w14:paraId="4C5CD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69" w:hRule="atLeast"/>
        </w:trPr>
        <w:tc>
          <w:tcPr>
            <w:tcW w:w="1985" w:type="dxa"/>
            <w:vAlign w:val="center"/>
          </w:tcPr>
          <w:p w14:paraId="5DA387F1">
            <w:pPr>
              <w:pStyle w:val="14"/>
              <w:spacing w:line="360" w:lineRule="exact"/>
              <w:ind w:left="0" w:firstLine="0"/>
              <w:rPr>
                <w:rFonts w:ascii="宋体" w:hAnsi="宋体"/>
                <w:color w:val="auto"/>
                <w:szCs w:val="21"/>
                <w:highlight w:val="none"/>
              </w:rPr>
            </w:pPr>
          </w:p>
        </w:tc>
        <w:tc>
          <w:tcPr>
            <w:tcW w:w="7371" w:type="dxa"/>
            <w:vAlign w:val="center"/>
          </w:tcPr>
          <w:p w14:paraId="5006CCB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1、竞包人应具备⑴、⑵或（3）相应的资质要求：</w:t>
            </w:r>
          </w:p>
          <w:p w14:paraId="69157CE5">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（1）工程设计综合甲级资质；</w:t>
            </w:r>
          </w:p>
          <w:p w14:paraId="6523A216">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（2）工程设计公路行业甲级及风景园林工程设计专项甲级资质；</w:t>
            </w:r>
          </w:p>
          <w:p w14:paraId="4F10044B">
            <w:pPr>
              <w:pStyle w:val="14"/>
              <w:numPr>
                <w:ilvl w:val="255"/>
                <w:numId w:val="0"/>
              </w:numPr>
              <w:spacing w:line="360" w:lineRule="exact"/>
              <w:ind w:left="0" w:firstLine="0"/>
              <w:rPr>
                <w:rFonts w:ascii="宋体" w:hAnsi="宋体"/>
                <w:color w:val="auto"/>
                <w:szCs w:val="21"/>
                <w:highlight w:val="none"/>
              </w:rPr>
            </w:pPr>
            <w:r>
              <w:rPr>
                <w:rFonts w:hint="eastAsia" w:ascii="宋体" w:hAnsi="宋体"/>
                <w:color w:val="auto"/>
                <w:szCs w:val="21"/>
                <w:highlight w:val="none"/>
              </w:rPr>
              <w:t>（3）工程设计公路行业(公路)专业甲级及风景园林工程设计专项甲级资质</w:t>
            </w:r>
          </w:p>
          <w:p w14:paraId="53A696AB">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☑2、竞包人应进入交通运输部“全国公路建设市场监督管理系统（https://hwdms.mot.gov.cn/BMWebSite/）中的公路工程设计资质企业名录，且竞包人名称和资质与该名录中的相应企业名称和资质完全一致。</w:t>
            </w:r>
          </w:p>
        </w:tc>
      </w:tr>
      <w:bookmarkEnd w:id="56"/>
    </w:tbl>
    <w:p w14:paraId="05874B6A">
      <w:pPr>
        <w:pStyle w:val="14"/>
        <w:jc w:val="left"/>
        <w:rPr>
          <w:rFonts w:ascii="宋体" w:hAnsi="宋体"/>
          <w:color w:val="auto"/>
          <w:szCs w:val="21"/>
          <w:highlight w:val="none"/>
        </w:rPr>
      </w:pPr>
    </w:p>
    <w:p w14:paraId="0484EFE2">
      <w:pPr>
        <w:pStyle w:val="69"/>
        <w:spacing w:line="500" w:lineRule="exact"/>
        <w:jc w:val="center"/>
        <w:rPr>
          <w:rFonts w:ascii="宋体" w:hAnsi="宋体"/>
          <w:color w:val="auto"/>
          <w:sz w:val="21"/>
          <w:szCs w:val="21"/>
          <w:highlight w:val="none"/>
        </w:rPr>
      </w:pPr>
      <w:r>
        <w:rPr>
          <w:rFonts w:hint="eastAsia" w:ascii="宋体" w:hAnsi="宋体"/>
          <w:color w:val="auto"/>
          <w:sz w:val="21"/>
          <w:szCs w:val="21"/>
          <w:highlight w:val="none"/>
        </w:rPr>
        <w:br w:type="page"/>
      </w:r>
      <w:bookmarkStart w:id="57" w:name="_Toc32334"/>
      <w:bookmarkStart w:id="58" w:name="_Toc31753"/>
      <w:bookmarkStart w:id="59" w:name="_Toc25131"/>
      <w:bookmarkStart w:id="60" w:name="_Toc32120"/>
      <w:bookmarkStart w:id="61" w:name="_Toc14563"/>
      <w:bookmarkStart w:id="62" w:name="_Toc3014"/>
      <w:r>
        <w:rPr>
          <w:rFonts w:hint="eastAsia" w:ascii="宋体" w:hAnsi="宋体"/>
          <w:color w:val="auto"/>
          <w:sz w:val="21"/>
          <w:szCs w:val="21"/>
          <w:highlight w:val="none"/>
        </w:rPr>
        <w:t>附录2 资格审查条件（</w:t>
      </w:r>
      <w:bookmarkStart w:id="63" w:name="_Hlk40654608"/>
      <w:r>
        <w:rPr>
          <w:rFonts w:hint="eastAsia" w:ascii="宋体" w:hAnsi="宋体"/>
          <w:color w:val="auto"/>
          <w:sz w:val="21"/>
          <w:szCs w:val="21"/>
          <w:highlight w:val="none"/>
        </w:rPr>
        <w:t>业绩最低要求</w:t>
      </w:r>
      <w:bookmarkEnd w:id="63"/>
      <w:r>
        <w:rPr>
          <w:rFonts w:hint="eastAsia" w:ascii="宋体" w:hAnsi="宋体"/>
          <w:color w:val="auto"/>
          <w:sz w:val="21"/>
          <w:szCs w:val="21"/>
          <w:highlight w:val="none"/>
        </w:rPr>
        <w:t>）</w:t>
      </w:r>
      <w:bookmarkEnd w:id="57"/>
      <w:bookmarkEnd w:id="58"/>
      <w:bookmarkEnd w:id="59"/>
      <w:bookmarkEnd w:id="60"/>
      <w:bookmarkEnd w:id="61"/>
      <w:bookmarkEnd w:id="62"/>
    </w:p>
    <w:p w14:paraId="2D41E5EE">
      <w:pPr>
        <w:pStyle w:val="14"/>
        <w:rPr>
          <w:rFonts w:ascii="宋体" w:hAnsi="宋体"/>
          <w:color w:val="auto"/>
          <w:szCs w:val="21"/>
          <w:highlight w:val="none"/>
        </w:rPr>
      </w:pPr>
    </w:p>
    <w:tbl>
      <w:tblPr>
        <w:tblStyle w:val="34"/>
        <w:tblW w:w="9356"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5"/>
        <w:gridCol w:w="7371"/>
      </w:tblGrid>
      <w:tr w14:paraId="709A4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5" w:hRule="atLeast"/>
        </w:trPr>
        <w:tc>
          <w:tcPr>
            <w:tcW w:w="1985" w:type="dxa"/>
            <w:tcBorders>
              <w:bottom w:val="single" w:color="auto" w:sz="4" w:space="0"/>
            </w:tcBorders>
            <w:vAlign w:val="center"/>
          </w:tcPr>
          <w:p w14:paraId="21D86718">
            <w:pPr>
              <w:pStyle w:val="14"/>
              <w:spacing w:line="360" w:lineRule="exact"/>
              <w:ind w:left="0" w:firstLine="0"/>
              <w:jc w:val="center"/>
              <w:rPr>
                <w:rFonts w:ascii="宋体" w:hAnsi="宋体"/>
                <w:color w:val="auto"/>
                <w:szCs w:val="21"/>
                <w:highlight w:val="none"/>
              </w:rPr>
            </w:pPr>
            <w:bookmarkStart w:id="64" w:name="_Hlk40656065"/>
            <w:r>
              <w:rPr>
                <w:rFonts w:hint="eastAsia" w:ascii="宋体" w:hAnsi="宋体"/>
                <w:color w:val="auto"/>
                <w:szCs w:val="21"/>
                <w:highlight w:val="none"/>
              </w:rPr>
              <w:t>标段</w:t>
            </w:r>
          </w:p>
        </w:tc>
        <w:tc>
          <w:tcPr>
            <w:tcW w:w="7371" w:type="dxa"/>
            <w:vAlign w:val="center"/>
          </w:tcPr>
          <w:p w14:paraId="2C018391">
            <w:pPr>
              <w:pStyle w:val="14"/>
              <w:spacing w:line="360" w:lineRule="exact"/>
              <w:ind w:left="0" w:firstLine="0"/>
              <w:jc w:val="center"/>
              <w:rPr>
                <w:rFonts w:ascii="宋体" w:hAnsi="宋体"/>
                <w:color w:val="auto"/>
                <w:szCs w:val="21"/>
                <w:highlight w:val="none"/>
              </w:rPr>
            </w:pPr>
            <w:r>
              <w:rPr>
                <w:rFonts w:hint="eastAsia" w:ascii="宋体" w:hAnsi="宋体"/>
                <w:color w:val="auto"/>
                <w:szCs w:val="21"/>
                <w:highlight w:val="none"/>
              </w:rPr>
              <w:t>业绩要求</w:t>
            </w:r>
          </w:p>
        </w:tc>
      </w:tr>
      <w:tr w14:paraId="7D889B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1985" w:type="dxa"/>
            <w:tcBorders>
              <w:top w:val="single" w:color="auto" w:sz="4" w:space="0"/>
              <w:bottom w:val="single" w:color="auto" w:sz="4" w:space="0"/>
            </w:tcBorders>
            <w:vAlign w:val="center"/>
          </w:tcPr>
          <w:p w14:paraId="0E44FF02">
            <w:pPr>
              <w:pStyle w:val="14"/>
              <w:spacing w:line="360" w:lineRule="exact"/>
              <w:ind w:left="0" w:firstLine="0"/>
              <w:rPr>
                <w:rFonts w:ascii="宋体" w:hAnsi="宋体"/>
                <w:color w:val="auto"/>
                <w:szCs w:val="21"/>
                <w:highlight w:val="none"/>
              </w:rPr>
            </w:pPr>
          </w:p>
        </w:tc>
        <w:tc>
          <w:tcPr>
            <w:tcW w:w="7371" w:type="dxa"/>
            <w:tcBorders>
              <w:top w:val="single" w:color="auto" w:sz="4" w:space="0"/>
              <w:bottom w:val="single" w:color="auto" w:sz="4" w:space="0"/>
            </w:tcBorders>
            <w:vAlign w:val="center"/>
          </w:tcPr>
          <w:p w14:paraId="46B473B2">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自2021年7月1日以来（以合同为准），完成过1条公路绿化工程的设计；</w:t>
            </w:r>
          </w:p>
        </w:tc>
      </w:tr>
      <w:bookmarkEnd w:id="64"/>
    </w:tbl>
    <w:p w14:paraId="0D4F4D5F">
      <w:pPr>
        <w:pStyle w:val="14"/>
        <w:spacing w:line="340" w:lineRule="exact"/>
        <w:ind w:firstLine="630" w:firstLineChars="300"/>
        <w:rPr>
          <w:rFonts w:ascii="宋体" w:hAnsi="宋体"/>
          <w:color w:val="auto"/>
          <w:szCs w:val="21"/>
          <w:highlight w:val="none"/>
        </w:rPr>
      </w:pPr>
    </w:p>
    <w:p w14:paraId="1CF1D399">
      <w:pPr>
        <w:spacing w:line="360" w:lineRule="auto"/>
        <w:rPr>
          <w:rFonts w:ascii="宋体" w:hAnsi="宋体"/>
          <w:color w:val="auto"/>
          <w:szCs w:val="21"/>
          <w:highlight w:val="none"/>
        </w:rPr>
      </w:pPr>
      <w:r>
        <w:rPr>
          <w:rFonts w:hint="eastAsia" w:ascii="宋体" w:hAnsi="宋体"/>
          <w:color w:val="auto"/>
          <w:szCs w:val="21"/>
          <w:highlight w:val="none"/>
        </w:rPr>
        <w:t>注：竞包人应在“第六章 竞包文件格式”的“近年完成的类似项目情况表”后附相关资料，所附资料见竞包人须知前附表第</w:t>
      </w:r>
      <w:r>
        <w:rPr>
          <w:rFonts w:ascii="宋体" w:hAnsi="宋体"/>
          <w:color w:val="auto"/>
          <w:szCs w:val="21"/>
          <w:highlight w:val="none"/>
        </w:rPr>
        <w:t>3.5.</w:t>
      </w:r>
      <w:r>
        <w:rPr>
          <w:rFonts w:hint="eastAsia" w:ascii="宋体" w:hAnsi="宋体"/>
          <w:color w:val="auto"/>
          <w:szCs w:val="21"/>
          <w:highlight w:val="none"/>
        </w:rPr>
        <w:t>2项规定。</w:t>
      </w:r>
    </w:p>
    <w:p w14:paraId="08220396">
      <w:pPr>
        <w:pStyle w:val="14"/>
        <w:jc w:val="left"/>
        <w:rPr>
          <w:rFonts w:ascii="宋体" w:hAnsi="宋体"/>
          <w:color w:val="auto"/>
          <w:szCs w:val="21"/>
          <w:highlight w:val="none"/>
        </w:rPr>
      </w:pPr>
      <w:r>
        <w:rPr>
          <w:rFonts w:hint="eastAsia" w:ascii="宋体" w:hAnsi="宋体"/>
          <w:color w:val="auto"/>
          <w:szCs w:val="21"/>
          <w:highlight w:val="none"/>
        </w:rPr>
        <w:br w:type="page"/>
      </w:r>
    </w:p>
    <w:p w14:paraId="30900B15">
      <w:pPr>
        <w:pStyle w:val="69"/>
        <w:jc w:val="center"/>
        <w:rPr>
          <w:rFonts w:ascii="宋体" w:hAnsi="宋体"/>
          <w:color w:val="auto"/>
          <w:sz w:val="21"/>
          <w:szCs w:val="21"/>
          <w:highlight w:val="none"/>
        </w:rPr>
      </w:pPr>
      <w:bookmarkStart w:id="65" w:name="_Toc23801"/>
      <w:bookmarkStart w:id="66" w:name="_Toc15578"/>
      <w:bookmarkStart w:id="67" w:name="_Toc13044"/>
      <w:bookmarkStart w:id="68" w:name="_Toc29186"/>
      <w:bookmarkStart w:id="69" w:name="_Toc12587"/>
      <w:bookmarkStart w:id="70" w:name="_Toc5385"/>
      <w:r>
        <w:rPr>
          <w:rFonts w:hint="eastAsia" w:ascii="宋体" w:hAnsi="宋体"/>
          <w:color w:val="auto"/>
          <w:sz w:val="21"/>
          <w:szCs w:val="21"/>
          <w:highlight w:val="none"/>
        </w:rPr>
        <w:t>附录3 资格审查条件（信誉最低要求）</w:t>
      </w:r>
      <w:bookmarkEnd w:id="65"/>
      <w:bookmarkEnd w:id="66"/>
      <w:bookmarkEnd w:id="67"/>
      <w:bookmarkEnd w:id="68"/>
      <w:bookmarkEnd w:id="69"/>
      <w:bookmarkEnd w:id="70"/>
    </w:p>
    <w:p w14:paraId="47AE9270">
      <w:pPr>
        <w:pStyle w:val="14"/>
        <w:rPr>
          <w:rFonts w:ascii="宋体" w:hAnsi="宋体"/>
          <w:color w:val="auto"/>
          <w:szCs w:val="21"/>
          <w:highlight w:val="none"/>
        </w:rPr>
      </w:pPr>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58"/>
        <w:gridCol w:w="6680"/>
      </w:tblGrid>
      <w:tr w14:paraId="57C28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8" w:hRule="atLeast"/>
        </w:trPr>
        <w:tc>
          <w:tcPr>
            <w:tcW w:w="2858" w:type="dxa"/>
            <w:vAlign w:val="center"/>
          </w:tcPr>
          <w:p w14:paraId="13789F41">
            <w:pPr>
              <w:pStyle w:val="14"/>
              <w:spacing w:line="360" w:lineRule="exact"/>
              <w:ind w:left="0" w:firstLine="0"/>
              <w:jc w:val="center"/>
              <w:rPr>
                <w:rFonts w:ascii="宋体" w:hAnsi="宋体"/>
                <w:color w:val="auto"/>
                <w:szCs w:val="21"/>
                <w:highlight w:val="none"/>
              </w:rPr>
            </w:pPr>
            <w:bookmarkStart w:id="71" w:name="_Hlk40657058"/>
            <w:r>
              <w:rPr>
                <w:rFonts w:hint="eastAsia" w:ascii="宋体" w:hAnsi="宋体"/>
                <w:color w:val="auto"/>
                <w:szCs w:val="21"/>
                <w:highlight w:val="none"/>
              </w:rPr>
              <w:t>标段</w:t>
            </w:r>
          </w:p>
        </w:tc>
        <w:tc>
          <w:tcPr>
            <w:tcW w:w="6680" w:type="dxa"/>
            <w:vAlign w:val="center"/>
          </w:tcPr>
          <w:p w14:paraId="2901A1AA">
            <w:pPr>
              <w:pStyle w:val="14"/>
              <w:spacing w:line="360" w:lineRule="exact"/>
              <w:ind w:left="0" w:firstLine="0"/>
              <w:jc w:val="center"/>
              <w:rPr>
                <w:rFonts w:ascii="宋体" w:hAnsi="宋体"/>
                <w:color w:val="auto"/>
                <w:szCs w:val="21"/>
                <w:highlight w:val="none"/>
              </w:rPr>
            </w:pPr>
            <w:r>
              <w:rPr>
                <w:rFonts w:hint="eastAsia" w:ascii="宋体" w:hAnsi="宋体"/>
                <w:color w:val="auto"/>
                <w:szCs w:val="21"/>
                <w:highlight w:val="none"/>
              </w:rPr>
              <w:t>信誉要求</w:t>
            </w:r>
          </w:p>
        </w:tc>
      </w:tr>
      <w:tr w14:paraId="72A127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705" w:hRule="atLeast"/>
        </w:trPr>
        <w:tc>
          <w:tcPr>
            <w:tcW w:w="2858" w:type="dxa"/>
            <w:vAlign w:val="center"/>
          </w:tcPr>
          <w:p w14:paraId="7E7CB952">
            <w:pPr>
              <w:pStyle w:val="14"/>
              <w:spacing w:line="360" w:lineRule="exact"/>
              <w:ind w:left="0" w:firstLine="0"/>
              <w:jc w:val="center"/>
              <w:rPr>
                <w:rFonts w:ascii="宋体" w:hAnsi="宋体"/>
                <w:color w:val="auto"/>
                <w:szCs w:val="21"/>
                <w:highlight w:val="none"/>
              </w:rPr>
            </w:pPr>
          </w:p>
        </w:tc>
        <w:tc>
          <w:tcPr>
            <w:tcW w:w="6680" w:type="dxa"/>
            <w:vAlign w:val="center"/>
          </w:tcPr>
          <w:p w14:paraId="3A2A2210">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不存在“竞包人须知”第1.4.3项和第1.4.4项的情形。</w:t>
            </w:r>
          </w:p>
        </w:tc>
      </w:tr>
      <w:bookmarkEnd w:id="71"/>
    </w:tbl>
    <w:p w14:paraId="016A3AF5">
      <w:pPr>
        <w:spacing w:line="360" w:lineRule="auto"/>
        <w:rPr>
          <w:rFonts w:ascii="宋体" w:hAnsi="宋体"/>
          <w:color w:val="auto"/>
          <w:szCs w:val="21"/>
          <w:highlight w:val="none"/>
        </w:rPr>
      </w:pPr>
      <w:r>
        <w:rPr>
          <w:rFonts w:hint="eastAsia" w:ascii="宋体" w:hAnsi="宋体"/>
          <w:color w:val="auto"/>
          <w:szCs w:val="21"/>
          <w:highlight w:val="none"/>
        </w:rPr>
        <w:t>注：竞包人应在“第六章 竞包文件格式”的“竞包人的信誉情况表”后附竞包人在国家企业信用信息公示系统中未被列入严重违法失信企业名单、在“信用中国”网站中未被列入失信被执行人名单的网页截图。</w:t>
      </w:r>
    </w:p>
    <w:p w14:paraId="69962C2A">
      <w:pPr>
        <w:pStyle w:val="69"/>
        <w:spacing w:line="500" w:lineRule="exact"/>
        <w:jc w:val="center"/>
        <w:rPr>
          <w:rFonts w:ascii="宋体" w:hAnsi="宋体"/>
          <w:color w:val="auto"/>
          <w:sz w:val="21"/>
          <w:szCs w:val="21"/>
          <w:highlight w:val="none"/>
        </w:rPr>
      </w:pPr>
      <w:r>
        <w:rPr>
          <w:rFonts w:hint="eastAsia" w:ascii="宋体" w:hAnsi="宋体"/>
          <w:color w:val="auto"/>
          <w:sz w:val="21"/>
          <w:szCs w:val="21"/>
          <w:highlight w:val="none"/>
        </w:rPr>
        <w:br w:type="page"/>
      </w:r>
      <w:bookmarkStart w:id="72" w:name="_Toc26338"/>
      <w:bookmarkStart w:id="73" w:name="_Toc8651"/>
      <w:bookmarkStart w:id="74" w:name="_Toc16835"/>
      <w:bookmarkStart w:id="75" w:name="_Toc10248"/>
      <w:bookmarkStart w:id="76" w:name="_Toc12412"/>
      <w:bookmarkStart w:id="77" w:name="_Toc16082"/>
      <w:r>
        <w:rPr>
          <w:rFonts w:hint="eastAsia" w:ascii="宋体" w:hAnsi="宋体"/>
          <w:color w:val="auto"/>
          <w:sz w:val="21"/>
          <w:szCs w:val="21"/>
          <w:highlight w:val="none"/>
        </w:rPr>
        <w:t>附录4 资格审查条件（项目负责人最低要求）</w:t>
      </w:r>
      <w:bookmarkEnd w:id="72"/>
      <w:bookmarkEnd w:id="73"/>
      <w:bookmarkEnd w:id="74"/>
      <w:bookmarkEnd w:id="75"/>
      <w:bookmarkEnd w:id="76"/>
      <w:bookmarkEnd w:id="77"/>
    </w:p>
    <w:p w14:paraId="207E4878">
      <w:pPr>
        <w:pStyle w:val="14"/>
        <w:jc w:val="center"/>
        <w:rPr>
          <w:rFonts w:ascii="宋体" w:hAnsi="宋体"/>
          <w:color w:val="auto"/>
          <w:szCs w:val="21"/>
          <w:highlight w:val="none"/>
        </w:rPr>
      </w:pPr>
      <w:bookmarkStart w:id="78" w:name="_Hlk40656236"/>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614"/>
        <w:gridCol w:w="850"/>
        <w:gridCol w:w="5812"/>
      </w:tblGrid>
      <w:tr w14:paraId="3FA12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63" w:hRule="atLeast"/>
        </w:trPr>
        <w:tc>
          <w:tcPr>
            <w:tcW w:w="2614" w:type="dxa"/>
            <w:vAlign w:val="center"/>
          </w:tcPr>
          <w:p w14:paraId="0D1D1A9C">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人员</w:t>
            </w:r>
          </w:p>
        </w:tc>
        <w:tc>
          <w:tcPr>
            <w:tcW w:w="850" w:type="dxa"/>
            <w:vAlign w:val="center"/>
          </w:tcPr>
          <w:p w14:paraId="3DE33F48">
            <w:pPr>
              <w:pStyle w:val="14"/>
              <w:spacing w:line="360" w:lineRule="exact"/>
              <w:ind w:left="0" w:firstLine="0"/>
              <w:jc w:val="center"/>
              <w:rPr>
                <w:rFonts w:ascii="宋体" w:hAnsi="宋体"/>
                <w:color w:val="auto"/>
                <w:szCs w:val="21"/>
                <w:highlight w:val="none"/>
              </w:rPr>
            </w:pPr>
            <w:r>
              <w:rPr>
                <w:rFonts w:hint="eastAsia" w:ascii="宋体" w:hAnsi="宋体"/>
                <w:color w:val="auto"/>
                <w:szCs w:val="21"/>
                <w:highlight w:val="none"/>
              </w:rPr>
              <w:t>数量</w:t>
            </w:r>
          </w:p>
        </w:tc>
        <w:tc>
          <w:tcPr>
            <w:tcW w:w="5812" w:type="dxa"/>
            <w:vAlign w:val="center"/>
          </w:tcPr>
          <w:p w14:paraId="2EA57F1E">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资格要求</w:t>
            </w:r>
          </w:p>
        </w:tc>
      </w:tr>
      <w:tr w14:paraId="6A0008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878" w:hRule="atLeast"/>
        </w:trPr>
        <w:tc>
          <w:tcPr>
            <w:tcW w:w="2614" w:type="dxa"/>
            <w:vAlign w:val="center"/>
          </w:tcPr>
          <w:p w14:paraId="67E60A00">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项目负责人</w:t>
            </w:r>
          </w:p>
        </w:tc>
        <w:tc>
          <w:tcPr>
            <w:tcW w:w="850" w:type="dxa"/>
            <w:vAlign w:val="center"/>
          </w:tcPr>
          <w:p w14:paraId="05F82DD2">
            <w:pPr>
              <w:pStyle w:val="14"/>
              <w:spacing w:line="360" w:lineRule="exact"/>
              <w:ind w:left="0" w:firstLine="0"/>
              <w:jc w:val="center"/>
              <w:rPr>
                <w:rFonts w:ascii="宋体" w:hAnsi="宋体"/>
                <w:color w:val="auto"/>
                <w:szCs w:val="21"/>
                <w:highlight w:val="none"/>
              </w:rPr>
            </w:pPr>
            <w:r>
              <w:rPr>
                <w:rFonts w:hint="eastAsia" w:ascii="宋体" w:hAnsi="宋体"/>
                <w:color w:val="auto"/>
                <w:szCs w:val="21"/>
                <w:highlight w:val="none"/>
              </w:rPr>
              <w:t>1</w:t>
            </w:r>
          </w:p>
        </w:tc>
        <w:tc>
          <w:tcPr>
            <w:tcW w:w="5812" w:type="dxa"/>
            <w:vAlign w:val="center"/>
          </w:tcPr>
          <w:p w14:paraId="29ED52C9">
            <w:pPr>
              <w:pStyle w:val="14"/>
              <w:spacing w:line="360" w:lineRule="exact"/>
              <w:ind w:left="0" w:firstLine="0"/>
              <w:rPr>
                <w:rFonts w:ascii="宋体" w:hAnsi="宋体"/>
                <w:color w:val="auto"/>
                <w:szCs w:val="21"/>
                <w:highlight w:val="none"/>
              </w:rPr>
            </w:pPr>
            <w:r>
              <w:rPr>
                <w:rFonts w:hint="eastAsia" w:ascii="宋体" w:hAnsi="宋体"/>
                <w:color w:val="auto"/>
                <w:szCs w:val="21"/>
                <w:highlight w:val="none"/>
              </w:rPr>
              <w:t>具有高级工程师及以上职称，自2021年7月1日以来（以合同为准），同时担任过1条二级及以上公路的设计的项目负责人，提供近六个月在本单位连续缴纳社保的缴费证明。</w:t>
            </w:r>
          </w:p>
        </w:tc>
      </w:tr>
      <w:bookmarkEnd w:id="78"/>
    </w:tbl>
    <w:p w14:paraId="328A0EB8">
      <w:pPr>
        <w:spacing w:line="360" w:lineRule="auto"/>
        <w:rPr>
          <w:rFonts w:ascii="宋体" w:hAnsi="宋体"/>
          <w:color w:val="auto"/>
          <w:szCs w:val="21"/>
          <w:highlight w:val="none"/>
        </w:rPr>
      </w:pPr>
      <w:r>
        <w:rPr>
          <w:rFonts w:hint="eastAsia" w:ascii="宋体" w:hAnsi="宋体"/>
          <w:color w:val="auto"/>
          <w:szCs w:val="21"/>
          <w:highlight w:val="none"/>
        </w:rPr>
        <w:t>注：竞包人应在“第六章 竞包文件格式”的“拟委任的项目负责人资历表”后附相关资料，所附资料见竞包人须知前附表第3.5.4项规定。</w:t>
      </w:r>
    </w:p>
    <w:p w14:paraId="6C2F2235">
      <w:pPr>
        <w:spacing w:line="360" w:lineRule="auto"/>
        <w:rPr>
          <w:rFonts w:ascii="宋体" w:hAnsi="宋体"/>
          <w:color w:val="auto"/>
          <w:szCs w:val="21"/>
          <w:highlight w:val="none"/>
        </w:rPr>
      </w:pPr>
    </w:p>
    <w:p w14:paraId="5B2177C8">
      <w:pPr>
        <w:spacing w:line="360" w:lineRule="auto"/>
        <w:rPr>
          <w:rFonts w:ascii="宋体" w:hAnsi="宋体"/>
          <w:color w:val="auto"/>
          <w:szCs w:val="21"/>
          <w:highlight w:val="none"/>
        </w:rPr>
      </w:pPr>
    </w:p>
    <w:p w14:paraId="4BC22EB5">
      <w:pPr>
        <w:spacing w:line="360" w:lineRule="auto"/>
        <w:rPr>
          <w:rFonts w:ascii="宋体" w:hAnsi="宋体"/>
          <w:color w:val="auto"/>
          <w:szCs w:val="21"/>
          <w:highlight w:val="none"/>
        </w:rPr>
      </w:pPr>
    </w:p>
    <w:p w14:paraId="3793AB84">
      <w:pPr>
        <w:spacing w:line="360" w:lineRule="auto"/>
        <w:rPr>
          <w:rFonts w:ascii="宋体" w:hAnsi="宋体"/>
          <w:color w:val="auto"/>
          <w:szCs w:val="21"/>
          <w:highlight w:val="none"/>
        </w:rPr>
      </w:pPr>
    </w:p>
    <w:p w14:paraId="04D956CA">
      <w:pPr>
        <w:spacing w:line="360" w:lineRule="auto"/>
        <w:rPr>
          <w:rFonts w:ascii="宋体" w:hAnsi="宋体"/>
          <w:color w:val="auto"/>
          <w:szCs w:val="21"/>
          <w:highlight w:val="none"/>
        </w:rPr>
      </w:pPr>
    </w:p>
    <w:p w14:paraId="12F67C5F">
      <w:pPr>
        <w:spacing w:line="360" w:lineRule="auto"/>
        <w:rPr>
          <w:rFonts w:ascii="宋体" w:hAnsi="宋体"/>
          <w:color w:val="auto"/>
          <w:szCs w:val="21"/>
          <w:highlight w:val="none"/>
        </w:rPr>
      </w:pPr>
    </w:p>
    <w:p w14:paraId="7D20B782">
      <w:pPr>
        <w:spacing w:line="360" w:lineRule="auto"/>
        <w:rPr>
          <w:rFonts w:ascii="宋体" w:hAnsi="宋体"/>
          <w:color w:val="auto"/>
          <w:szCs w:val="21"/>
          <w:highlight w:val="none"/>
        </w:rPr>
      </w:pPr>
    </w:p>
    <w:p w14:paraId="1A21FC33">
      <w:pPr>
        <w:spacing w:line="360" w:lineRule="auto"/>
        <w:rPr>
          <w:rFonts w:ascii="宋体" w:hAnsi="宋体"/>
          <w:color w:val="auto"/>
          <w:szCs w:val="21"/>
          <w:highlight w:val="none"/>
        </w:rPr>
      </w:pPr>
    </w:p>
    <w:p w14:paraId="7B264E0E">
      <w:pPr>
        <w:spacing w:line="360" w:lineRule="auto"/>
        <w:rPr>
          <w:rFonts w:ascii="宋体" w:hAnsi="宋体"/>
          <w:color w:val="auto"/>
          <w:szCs w:val="21"/>
          <w:highlight w:val="none"/>
        </w:rPr>
      </w:pPr>
    </w:p>
    <w:p w14:paraId="72E39797">
      <w:pPr>
        <w:spacing w:line="360" w:lineRule="auto"/>
        <w:rPr>
          <w:rFonts w:ascii="宋体" w:hAnsi="宋体"/>
          <w:color w:val="auto"/>
          <w:szCs w:val="21"/>
          <w:highlight w:val="none"/>
        </w:rPr>
      </w:pPr>
    </w:p>
    <w:p w14:paraId="6EA702F5">
      <w:pPr>
        <w:spacing w:line="360" w:lineRule="auto"/>
        <w:rPr>
          <w:rFonts w:ascii="宋体" w:hAnsi="宋体"/>
          <w:color w:val="auto"/>
          <w:szCs w:val="21"/>
          <w:highlight w:val="none"/>
        </w:rPr>
      </w:pPr>
    </w:p>
    <w:p w14:paraId="3F686F03">
      <w:pPr>
        <w:spacing w:line="360" w:lineRule="auto"/>
        <w:rPr>
          <w:rFonts w:ascii="宋体" w:hAnsi="宋体"/>
          <w:color w:val="auto"/>
          <w:szCs w:val="21"/>
          <w:highlight w:val="none"/>
        </w:rPr>
      </w:pPr>
    </w:p>
    <w:p w14:paraId="44D490D4">
      <w:pPr>
        <w:spacing w:line="360" w:lineRule="auto"/>
        <w:rPr>
          <w:rFonts w:ascii="宋体" w:hAnsi="宋体"/>
          <w:color w:val="auto"/>
          <w:szCs w:val="21"/>
          <w:highlight w:val="none"/>
        </w:rPr>
      </w:pPr>
    </w:p>
    <w:p w14:paraId="772D4392">
      <w:pPr>
        <w:spacing w:line="360" w:lineRule="auto"/>
        <w:rPr>
          <w:rFonts w:ascii="宋体" w:hAnsi="宋体"/>
          <w:color w:val="auto"/>
          <w:szCs w:val="21"/>
          <w:highlight w:val="none"/>
        </w:rPr>
      </w:pPr>
    </w:p>
    <w:p w14:paraId="085DE642">
      <w:pPr>
        <w:spacing w:line="360" w:lineRule="auto"/>
        <w:rPr>
          <w:rFonts w:ascii="宋体" w:hAnsi="宋体"/>
          <w:color w:val="auto"/>
          <w:szCs w:val="21"/>
          <w:highlight w:val="none"/>
        </w:rPr>
      </w:pPr>
    </w:p>
    <w:p w14:paraId="52B2FEB8">
      <w:pPr>
        <w:spacing w:line="360" w:lineRule="auto"/>
        <w:rPr>
          <w:rFonts w:ascii="宋体" w:hAnsi="宋体"/>
          <w:color w:val="auto"/>
          <w:szCs w:val="21"/>
          <w:highlight w:val="none"/>
        </w:rPr>
      </w:pPr>
    </w:p>
    <w:p w14:paraId="2C1C8830">
      <w:pPr>
        <w:spacing w:line="360" w:lineRule="auto"/>
        <w:rPr>
          <w:rFonts w:ascii="宋体" w:hAnsi="宋体"/>
          <w:color w:val="auto"/>
          <w:szCs w:val="21"/>
          <w:highlight w:val="none"/>
        </w:rPr>
      </w:pPr>
    </w:p>
    <w:p w14:paraId="7C56DE70">
      <w:pPr>
        <w:spacing w:line="360" w:lineRule="auto"/>
        <w:rPr>
          <w:rFonts w:ascii="宋体" w:hAnsi="宋体"/>
          <w:color w:val="auto"/>
          <w:szCs w:val="21"/>
          <w:highlight w:val="none"/>
        </w:rPr>
      </w:pPr>
    </w:p>
    <w:p w14:paraId="725907BC">
      <w:pPr>
        <w:spacing w:line="360" w:lineRule="auto"/>
        <w:rPr>
          <w:rFonts w:ascii="宋体" w:hAnsi="宋体"/>
          <w:color w:val="auto"/>
          <w:szCs w:val="21"/>
          <w:highlight w:val="none"/>
        </w:rPr>
      </w:pPr>
    </w:p>
    <w:p w14:paraId="15366A9F">
      <w:pPr>
        <w:spacing w:line="360" w:lineRule="auto"/>
        <w:rPr>
          <w:rFonts w:ascii="宋体" w:hAnsi="宋体"/>
          <w:color w:val="auto"/>
          <w:szCs w:val="21"/>
          <w:highlight w:val="none"/>
        </w:rPr>
      </w:pPr>
    </w:p>
    <w:p w14:paraId="670E8ADD">
      <w:pPr>
        <w:spacing w:line="360" w:lineRule="auto"/>
        <w:rPr>
          <w:rFonts w:ascii="宋体" w:hAnsi="宋体"/>
          <w:color w:val="auto"/>
          <w:szCs w:val="21"/>
          <w:highlight w:val="none"/>
        </w:rPr>
      </w:pPr>
    </w:p>
    <w:p w14:paraId="50613840">
      <w:pPr>
        <w:spacing w:line="360" w:lineRule="auto"/>
        <w:rPr>
          <w:rFonts w:ascii="宋体" w:hAnsi="宋体"/>
          <w:color w:val="auto"/>
          <w:szCs w:val="21"/>
          <w:highlight w:val="none"/>
        </w:rPr>
      </w:pPr>
    </w:p>
    <w:p w14:paraId="7B1ECE17">
      <w:pPr>
        <w:pStyle w:val="4"/>
        <w:widowControl/>
        <w:spacing w:before="140" w:after="140" w:line="240" w:lineRule="auto"/>
        <w:jc w:val="center"/>
        <w:rPr>
          <w:rFonts w:ascii="宋体" w:hAnsi="宋体" w:cs="宋体"/>
          <w:color w:val="auto"/>
          <w:highlight w:val="none"/>
        </w:rPr>
      </w:pPr>
      <w:bookmarkStart w:id="79" w:name="_Toc154675039"/>
      <w:bookmarkStart w:id="80" w:name="_Toc27719"/>
      <w:bookmarkStart w:id="81" w:name="_Toc22784"/>
      <w:bookmarkStart w:id="82" w:name="_Toc11231"/>
      <w:bookmarkStart w:id="83" w:name="_Toc19986"/>
      <w:bookmarkStart w:id="84" w:name="_Toc9906"/>
      <w:bookmarkStart w:id="85" w:name="_Toc6281"/>
      <w:r>
        <w:rPr>
          <w:rFonts w:hint="eastAsia" w:ascii="宋体" w:hAnsi="宋体" w:cs="宋体"/>
          <w:color w:val="auto"/>
          <w:sz w:val="24"/>
          <w:szCs w:val="24"/>
          <w:highlight w:val="none"/>
        </w:rPr>
        <w:t>□附录6 定标办法</w:t>
      </w:r>
      <w:bookmarkEnd w:id="79"/>
      <w:bookmarkEnd w:id="80"/>
      <w:bookmarkEnd w:id="81"/>
      <w:bookmarkEnd w:id="82"/>
      <w:bookmarkEnd w:id="83"/>
      <w:bookmarkEnd w:id="84"/>
      <w:r>
        <w:rPr>
          <w:rFonts w:hint="eastAsia" w:ascii="宋体" w:hAnsi="宋体" w:cs="宋体"/>
          <w:color w:val="auto"/>
          <w:sz w:val="24"/>
          <w:szCs w:val="24"/>
          <w:highlight w:val="none"/>
        </w:rPr>
        <w:t>（本项目不适用）</w:t>
      </w:r>
      <w:bookmarkEnd w:id="85"/>
    </w:p>
    <w:p w14:paraId="2A2D6F14">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1.依据</w:t>
      </w:r>
    </w:p>
    <w:p w14:paraId="0D151831">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根据《浙江省工程建设项目招标投标“评定分离”操作指引（试行）》（浙发改公管〔2023〕256号）、关于印发《绍兴市工程建设项目招标投标“评定分离”试点定标操作指引（试行）》（绍市政服发〔2023〕17号）的通知制定。</w:t>
      </w:r>
    </w:p>
    <w:p w14:paraId="153AFC07">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2.定标原则</w:t>
      </w:r>
    </w:p>
    <w:p w14:paraId="0130FC9D">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按《浙江省工程建设项目招标投标“评定分离”操作指引（试行）》（浙发改公管〔2023〕256号）第四条原则。</w:t>
      </w:r>
    </w:p>
    <w:p w14:paraId="7D290F3E">
      <w:pPr>
        <w:spacing w:line="360" w:lineRule="exact"/>
        <w:ind w:firstLine="422" w:firstLineChars="200"/>
        <w:rPr>
          <w:rFonts w:ascii="宋体" w:hAnsi="宋体" w:cs="宋体"/>
          <w:b/>
          <w:bCs/>
          <w:color w:val="auto"/>
          <w:highlight w:val="none"/>
          <w:lang w:bidi="ar"/>
        </w:rPr>
      </w:pPr>
      <w:r>
        <w:rPr>
          <w:rFonts w:hint="eastAsia" w:ascii="宋体" w:hAnsi="宋体" w:cs="宋体"/>
          <w:b/>
          <w:bCs/>
          <w:color w:val="auto"/>
          <w:highlight w:val="none"/>
          <w:lang w:bidi="ar"/>
        </w:rPr>
        <w:t>3.定标委员会的组建标准和方法</w:t>
      </w:r>
    </w:p>
    <w:p w14:paraId="7C5F22A0">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发包人应按以下标准和方法组建定标委员会开展定标工作：</w:t>
      </w:r>
    </w:p>
    <w:p w14:paraId="47A84918">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（一）定标委员会成员数量应为5人及以上单数。</w:t>
      </w:r>
    </w:p>
    <w:p w14:paraId="2F79B20F">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二）定标委员会成员一般由发包人代表、项目业主代表和项目使用单位代表组成。确有需要的，发包人可邀请外部专家担任定标委员会成员，但邀请的外部成员人数不得超过定标委员会成员总人数的二分之一。评标委员会成员原则上不得担任定标委员会成员。</w:t>
      </w:r>
    </w:p>
    <w:p w14:paraId="39413D0C">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三）发包人的法定代表人或主要负责人或分管负责人应进入定标委员会，并担任组长，主持定标会议。发包人的法定代表人、主要负责人、分管负责人均进入定标委员会的，或其中两人进入定标委员会的，应从其中推选一人担任组长。</w:t>
      </w:r>
    </w:p>
    <w:p w14:paraId="38886E16">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（四）定标委员会成员与中包候选人有利害关系的应主动说明并申请回避。</w:t>
      </w:r>
    </w:p>
    <w:p w14:paraId="14750A3F">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（五）定标委员会名单在中包结果确定前应保密。</w:t>
      </w:r>
    </w:p>
    <w:p w14:paraId="3B584CA2">
      <w:pPr>
        <w:spacing w:line="360" w:lineRule="exact"/>
        <w:ind w:firstLine="422" w:firstLineChars="200"/>
        <w:rPr>
          <w:rFonts w:ascii="宋体" w:hAnsi="宋体" w:cs="宋体"/>
          <w:b/>
          <w:bCs/>
          <w:color w:val="auto"/>
          <w:highlight w:val="none"/>
          <w:lang w:bidi="ar"/>
        </w:rPr>
      </w:pPr>
      <w:r>
        <w:rPr>
          <w:rFonts w:hint="eastAsia" w:ascii="宋体" w:hAnsi="宋体" w:cs="宋体"/>
          <w:b/>
          <w:bCs/>
          <w:color w:val="auto"/>
          <w:highlight w:val="none"/>
          <w:lang w:bidi="ar"/>
        </w:rPr>
        <w:t>4.本项目不对中包候选人进行考察、质询。</w:t>
      </w:r>
    </w:p>
    <w:p w14:paraId="7B419DFA">
      <w:pPr>
        <w:spacing w:line="360" w:lineRule="exact"/>
        <w:ind w:firstLine="422" w:firstLineChars="200"/>
        <w:rPr>
          <w:rFonts w:ascii="宋体" w:hAnsi="宋体" w:cs="宋体"/>
          <w:b/>
          <w:bCs/>
          <w:color w:val="auto"/>
          <w:highlight w:val="none"/>
          <w:lang w:bidi="ar"/>
        </w:rPr>
      </w:pPr>
      <w:r>
        <w:rPr>
          <w:rFonts w:hint="eastAsia" w:ascii="宋体" w:hAnsi="宋体" w:cs="宋体"/>
          <w:b/>
          <w:bCs/>
          <w:color w:val="auto"/>
          <w:highlight w:val="none"/>
          <w:lang w:bidi="ar"/>
        </w:rPr>
        <w:t>5.本项目不对中包候选人的法定代表人、拟派项目负责人开展现场面试。</w:t>
      </w:r>
    </w:p>
    <w:p w14:paraId="527143F6">
      <w:pPr>
        <w:spacing w:line="360" w:lineRule="exact"/>
        <w:ind w:firstLine="422" w:firstLineChars="200"/>
        <w:rPr>
          <w:rFonts w:ascii="宋体" w:hAnsi="宋体" w:cs="宋体"/>
          <w:b/>
          <w:bCs/>
          <w:color w:val="auto"/>
          <w:szCs w:val="21"/>
          <w:highlight w:val="none"/>
          <w:lang w:bidi="ar"/>
        </w:rPr>
      </w:pPr>
      <w:r>
        <w:rPr>
          <w:rFonts w:hint="eastAsia" w:ascii="宋体" w:hAnsi="宋体" w:cs="宋体"/>
          <w:b/>
          <w:bCs/>
          <w:color w:val="auto"/>
          <w:szCs w:val="21"/>
          <w:highlight w:val="none"/>
          <w:lang w:bidi="ar"/>
        </w:rPr>
        <w:t>6.定标要素及具体内容</w:t>
      </w:r>
    </w:p>
    <w:p w14:paraId="0951A991">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（1）企业匹配性：主要包括企业规模、资质等级、专业技术人员规模、过往业绩（含业绩影响力，难易程度）等。</w:t>
      </w:r>
    </w:p>
    <w:p w14:paraId="3AD66D4C">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2）竞包方案（技术建议书）：主要包括对发包项目的理解和总体设计思路；对发包项目设计的特点、关键性技术问题的认识及其对策措施；对前一阶段工作技术结论及技术方案的不同看法及建议；设计工作量及计划安排；设计的质量保证措施、进度保证措施、安全保障措施；后续服务的安排及保证措施等。</w:t>
      </w:r>
    </w:p>
    <w:p w14:paraId="1C0847FA">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（3）拟派团队能力与水平：主要包括团队主要负责人类似工程业绩、拟派项目团队人员的资信实力等。</w:t>
      </w:r>
    </w:p>
    <w:p w14:paraId="675D2AF1">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（4）评标委员会评审意见（评标报告）。</w:t>
      </w:r>
    </w:p>
    <w:p w14:paraId="6F182C71">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（5）价格因素：主要包括竞包报价高低、不平衡报价情况等。</w:t>
      </w:r>
    </w:p>
    <w:p w14:paraId="1D9012BF">
      <w:pPr>
        <w:spacing w:line="360" w:lineRule="exact"/>
        <w:ind w:firstLine="420" w:firstLineChars="200"/>
        <w:rPr>
          <w:rFonts w:ascii="宋体" w:hAnsi="宋体" w:cs="宋体"/>
          <w:bCs/>
          <w:color w:val="auto"/>
          <w:highlight w:val="none"/>
          <w:lang w:bidi="ar"/>
        </w:rPr>
      </w:pPr>
      <w:r>
        <w:rPr>
          <w:rFonts w:hint="eastAsia" w:ascii="宋体" w:hAnsi="宋体" w:cs="宋体"/>
          <w:bCs/>
          <w:color w:val="auto"/>
          <w:highlight w:val="none"/>
          <w:lang w:bidi="ar"/>
        </w:rPr>
        <w:t>（6）企业信誉：主要包括企业信用评价结果、过往业绩履约情况、建设单位履约评价情况等（可查询浙江省交通运输信用综合管理服务系统等）。</w:t>
      </w:r>
    </w:p>
    <w:p w14:paraId="4D433D14">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（7）定标核查情况：</w:t>
      </w:r>
      <w:r>
        <w:rPr>
          <w:rFonts w:hint="eastAsia" w:ascii="宋体" w:hAnsi="宋体" w:cs="宋体"/>
          <w:color w:val="auto"/>
          <w:highlight w:val="none"/>
          <w:lang w:bidi="ar"/>
        </w:rPr>
        <w:t>包括信用信息、行贿情况、履约能力等内容（发包人在定标会议前对中包候选人进行定标核查）。</w:t>
      </w:r>
    </w:p>
    <w:p w14:paraId="5A5F5E8A">
      <w:pPr>
        <w:spacing w:line="360" w:lineRule="exact"/>
        <w:ind w:firstLine="420" w:firstLineChars="200"/>
        <w:rPr>
          <w:rFonts w:ascii="宋体" w:hAnsi="宋体" w:cs="宋体"/>
          <w:color w:val="auto"/>
          <w:highlight w:val="none"/>
        </w:rPr>
      </w:pPr>
      <w:r>
        <w:rPr>
          <w:rFonts w:hint="eastAsia" w:ascii="宋体" w:hAnsi="宋体" w:cs="宋体"/>
          <w:bCs/>
          <w:color w:val="auto"/>
          <w:highlight w:val="none"/>
          <w:lang w:bidi="ar"/>
        </w:rPr>
        <w:t>（8）发包人认为需考量的其他要素。</w:t>
      </w:r>
    </w:p>
    <w:p w14:paraId="4116245E">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7.定标方法</w:t>
      </w:r>
    </w:p>
    <w:p w14:paraId="3BB7789D">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（1）采用票决方式，定标委员会成员投票时，按照发包文件规定的投票规则独立行使投票权；投票采用记名方式并需注明投票理由。</w:t>
      </w:r>
    </w:p>
    <w:p w14:paraId="01CF3C17">
      <w:pPr>
        <w:spacing w:line="360" w:lineRule="exact"/>
        <w:ind w:firstLine="420" w:firstLineChars="200"/>
        <w:rPr>
          <w:rFonts w:ascii="宋体" w:hAnsi="宋体" w:cs="宋体"/>
          <w:bCs/>
          <w:color w:val="auto"/>
          <w:highlight w:val="none"/>
        </w:rPr>
      </w:pPr>
      <w:r>
        <w:rPr>
          <w:rFonts w:hint="eastAsia" w:ascii="宋体" w:hAnsi="宋体" w:cs="宋体"/>
          <w:bCs/>
          <w:color w:val="auto"/>
          <w:highlight w:val="none"/>
          <w:lang w:bidi="ar"/>
        </w:rPr>
        <w:t>（2）定标委员会采取直接票决法确定中包人：通过投票，取票数最多且超过半数的为中包人。若中包候选人票数均未超过半数的，取票数前2名再次票决确定中包人。因并列无法确定前2名时，定标委员会对并列的中包候选人再次投票确定排序。</w:t>
      </w:r>
    </w:p>
    <w:p w14:paraId="67448CF6">
      <w:pPr>
        <w:spacing w:line="360" w:lineRule="exact"/>
        <w:ind w:firstLine="420" w:firstLineChars="200"/>
        <w:rPr>
          <w:rFonts w:ascii="宋体" w:hAnsi="宋体" w:cs="宋体"/>
          <w:color w:val="auto"/>
          <w:highlight w:val="none"/>
        </w:rPr>
      </w:pPr>
      <w:r>
        <w:rPr>
          <w:rFonts w:hint="eastAsia" w:ascii="宋体" w:hAnsi="宋体" w:cs="宋体"/>
          <w:bCs/>
          <w:color w:val="auto"/>
          <w:highlight w:val="none"/>
          <w:lang w:bidi="ar"/>
        </w:rPr>
        <w:t>（3）定标委员会确定的中包人同时出现在所有中包候选人中竞包报价最高和评标委员会对其竞包除价格部分以外的其他评审内容得分最低情形的（不包括并列最高、最低情形），应在定标报告中阐述具体理由。定标委员会确定的中包人出现竞包报价明显高于其余中包候选人（指中包人的竞包报价高于所有中包候选人竞包报价算术平均价超过10％）等情况时，应在定标报告中阐述具体理由。</w:t>
      </w:r>
    </w:p>
    <w:p w14:paraId="4F264745">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8.定标会议主要议程</w:t>
      </w:r>
    </w:p>
    <w:p w14:paraId="325F8C61">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（1）定标委员会成员到岗签到。监督人员负责与会人员身份核验、签到登记，填写《参加定标会议人员签到表》。</w:t>
      </w:r>
    </w:p>
    <w:p w14:paraId="448222C5">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（2）定标委员会组长主持定标会议各个议程。</w:t>
      </w:r>
    </w:p>
    <w:p w14:paraId="45100812">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（3）定标委员会组长宣读定标委员会组建情况及组长、成员名单、宣读定标纪律，定标委员会成员签订《承诺书》。</w:t>
      </w:r>
    </w:p>
    <w:p w14:paraId="16253136">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4）发包项目负责人向定标委员会介绍项目情况、发包情况、评标情况、定标原则、定标办法，不得用有倾向性的语言。同时提供相关资料（包括：发包文件、开标记录、评标报告、定标要素的基本情况表、涉及定标的其它资料）。</w:t>
      </w:r>
    </w:p>
    <w:p w14:paraId="73151285">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（5）拆封和发放定标资料：监督人员检查中包候选人单独提交的定标资料密封情况。发包代理人员拆封定标资料，给每位定标人员分发各中包候选人定标资料、定标委员会成员选票表格等。</w:t>
      </w:r>
    </w:p>
    <w:p w14:paraId="54DAC58B">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（6）审阅相关资料：定标委员会成员负责审阅所有中包候选人的相关资料并进行分析比较。</w:t>
      </w:r>
    </w:p>
    <w:p w14:paraId="0610C1B9">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（7）投票：按照定标办法规定的投票规则进行投票。</w:t>
      </w:r>
    </w:p>
    <w:p w14:paraId="09CC8011">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（8）唱票：监督人员监督之下，发包代理人员及时收取并检查选票，唱出定标委员会成员投票结果及投票理由，监督人员负责记录统计。</w:t>
      </w:r>
    </w:p>
    <w:p w14:paraId="09CD686C">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（9）宣读投票结果和定标结果：定标委员会组长按统计汇总的情况宣读最终投票结果和定标结果。</w:t>
      </w:r>
    </w:p>
    <w:p w14:paraId="30EF6124">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（10）定标：根据定标结果形成书面定标报告，定标会议结束。</w:t>
      </w:r>
    </w:p>
    <w:p w14:paraId="6E82763F">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9.定标报告</w:t>
      </w:r>
    </w:p>
    <w:p w14:paraId="4252C7C6">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定标后，定标委员会应形成定标报告，提交给发包人。定标报告应包括定标委员会名单、定标程序、定标要素、定标方法、定标结果等内容。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2863CE19">
      <w:pPr>
        <w:spacing w:line="360" w:lineRule="exact"/>
        <w:ind w:firstLine="422" w:firstLineChars="200"/>
        <w:rPr>
          <w:rFonts w:ascii="宋体" w:hAnsi="宋体" w:cs="宋体"/>
          <w:b/>
          <w:bCs/>
          <w:color w:val="auto"/>
          <w:highlight w:val="none"/>
          <w:lang w:bidi="ar"/>
        </w:rPr>
      </w:pPr>
      <w:r>
        <w:rPr>
          <w:rFonts w:hint="eastAsia" w:ascii="宋体" w:hAnsi="宋体" w:cs="宋体"/>
          <w:b/>
          <w:bCs/>
          <w:color w:val="auto"/>
          <w:highlight w:val="none"/>
          <w:lang w:bidi="ar"/>
        </w:rPr>
        <w:t>10.定标时间</w:t>
      </w:r>
    </w:p>
    <w:p w14:paraId="27C2D822">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定标会议在评标结果公示结束后10日内召开。</w:t>
      </w:r>
    </w:p>
    <w:p w14:paraId="1141FB51">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11.定标地点</w:t>
      </w:r>
    </w:p>
    <w:p w14:paraId="786685FF">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定标会议在绍兴市公共资源交易中心进行，并全程录音录像和现场监督。</w:t>
      </w:r>
    </w:p>
    <w:p w14:paraId="052DA6D2">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12.定标结果公告和备案</w:t>
      </w:r>
    </w:p>
    <w:p w14:paraId="553B9720">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定标结束后3日内，发包人将定标结果（中包结果公告）在交易网公告不少于3日。并将定标报告作为《招竞包情况书面报告》的一部分，报送招标投标行政监督部门。</w:t>
      </w:r>
    </w:p>
    <w:p w14:paraId="074CA6BA">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13.定标后有下列情形之一的，发包人可以组织原定标委员会从其他中包候选人中按原定标方法确定中包人：</w:t>
      </w:r>
    </w:p>
    <w:p w14:paraId="325DB998">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（1）中包人放弃中包资格或者拒不签订合同的；</w:t>
      </w:r>
    </w:p>
    <w:p w14:paraId="1D7563AD">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（2）中包人被查实存在违法行为影响中包结果的；</w:t>
      </w:r>
    </w:p>
    <w:p w14:paraId="20BF655A">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（3）发包文件规定的其他情形。</w:t>
      </w:r>
    </w:p>
    <w:p w14:paraId="695F5563">
      <w:pPr>
        <w:spacing w:line="360" w:lineRule="exact"/>
        <w:ind w:firstLine="422" w:firstLineChars="200"/>
        <w:rPr>
          <w:rFonts w:ascii="宋体" w:hAnsi="宋体" w:cs="宋体"/>
          <w:b/>
          <w:bCs/>
          <w:color w:val="auto"/>
          <w:highlight w:val="none"/>
        </w:rPr>
      </w:pPr>
      <w:r>
        <w:rPr>
          <w:rFonts w:hint="eastAsia" w:ascii="宋体" w:hAnsi="宋体" w:cs="宋体"/>
          <w:b/>
          <w:bCs/>
          <w:color w:val="auto"/>
          <w:highlight w:val="none"/>
          <w:lang w:bidi="ar"/>
        </w:rPr>
        <w:t>14.定标后有下列情形之一的，应重新定标：</w:t>
      </w:r>
    </w:p>
    <w:p w14:paraId="7EC9CF45">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（1）定标委员会未按定标办法公正履职的；</w:t>
      </w:r>
    </w:p>
    <w:p w14:paraId="796C41D2">
      <w:pPr>
        <w:spacing w:line="360" w:lineRule="exact"/>
        <w:ind w:firstLine="420" w:firstLineChars="200"/>
        <w:rPr>
          <w:rFonts w:ascii="宋体" w:hAnsi="宋体" w:cs="宋体"/>
          <w:color w:val="auto"/>
          <w:highlight w:val="none"/>
        </w:rPr>
      </w:pPr>
      <w:r>
        <w:rPr>
          <w:rFonts w:hint="eastAsia" w:ascii="宋体" w:hAnsi="宋体" w:cs="宋体"/>
          <w:color w:val="auto"/>
          <w:highlight w:val="none"/>
          <w:lang w:bidi="ar"/>
        </w:rPr>
        <w:t>（2）定标委员会成员与中包候选人有利害关系且未申请回避的；</w:t>
      </w:r>
    </w:p>
    <w:p w14:paraId="28613CC0">
      <w:pPr>
        <w:spacing w:line="360" w:lineRule="auto"/>
        <w:ind w:firstLine="420" w:firstLineChars="200"/>
        <w:rPr>
          <w:rFonts w:ascii="宋体" w:hAnsi="宋体"/>
          <w:color w:val="auto"/>
          <w:szCs w:val="21"/>
          <w:highlight w:val="none"/>
        </w:rPr>
      </w:pPr>
      <w:r>
        <w:rPr>
          <w:rFonts w:hint="eastAsia" w:ascii="宋体" w:hAnsi="宋体" w:cs="宋体"/>
          <w:color w:val="auto"/>
          <w:highlight w:val="none"/>
          <w:lang w:bidi="ar"/>
        </w:rPr>
        <w:t>（3）发包文件规定的其他情形。</w:t>
      </w:r>
    </w:p>
    <w:p w14:paraId="70CFB916">
      <w:pPr>
        <w:widowControl/>
        <w:ind w:firstLine="420" w:firstLineChars="200"/>
        <w:rPr>
          <w:rFonts w:ascii="宋体" w:hAnsi="宋体"/>
          <w:color w:val="auto"/>
          <w:szCs w:val="21"/>
          <w:highlight w:val="none"/>
        </w:rPr>
      </w:pPr>
      <w:r>
        <w:rPr>
          <w:rFonts w:hint="eastAsia" w:ascii="宋体" w:hAnsi="宋体"/>
          <w:color w:val="auto"/>
          <w:szCs w:val="21"/>
          <w:highlight w:val="none"/>
        </w:rPr>
        <w:br w:type="page"/>
      </w:r>
    </w:p>
    <w:p w14:paraId="354C3395">
      <w:pPr>
        <w:pStyle w:val="69"/>
        <w:spacing w:line="380" w:lineRule="exact"/>
        <w:rPr>
          <w:rFonts w:ascii="宋体" w:hAnsi="宋体"/>
          <w:color w:val="auto"/>
          <w:sz w:val="21"/>
          <w:szCs w:val="21"/>
          <w:highlight w:val="none"/>
        </w:rPr>
        <w:sectPr>
          <w:footnotePr>
            <w:numFmt w:val="decimalEnclosedCircleChinese"/>
            <w:numRestart w:val="eachPage"/>
          </w:footnotePr>
          <w:type w:val="continuous"/>
          <w:pgSz w:w="11911" w:h="16849"/>
          <w:pgMar w:top="1417" w:right="1361" w:bottom="1417" w:left="1361" w:header="850" w:footer="907" w:gutter="0"/>
          <w:cols w:space="720" w:num="1"/>
        </w:sectPr>
      </w:pPr>
      <w:bookmarkStart w:id="86" w:name="_Toc179632546"/>
      <w:bookmarkStart w:id="87" w:name="_Toc144974497"/>
      <w:bookmarkStart w:id="88" w:name="_Toc152045529"/>
      <w:bookmarkStart w:id="89" w:name="_Toc152042305"/>
    </w:p>
    <w:p w14:paraId="36552081">
      <w:pPr>
        <w:pStyle w:val="62"/>
        <w:ind w:left="0" w:firstLine="0"/>
        <w:outlineLvl w:val="0"/>
        <w:rPr>
          <w:rFonts w:ascii="宋体" w:hAnsi="宋体" w:eastAsia="宋体" w:cs="Times New Roman"/>
          <w:color w:val="auto"/>
          <w:sz w:val="21"/>
          <w:szCs w:val="21"/>
          <w:highlight w:val="none"/>
        </w:rPr>
      </w:pPr>
      <w:bookmarkStart w:id="90" w:name="_Toc15372"/>
      <w:bookmarkStart w:id="91" w:name="_Toc25372"/>
      <w:bookmarkStart w:id="92" w:name="_Toc6664"/>
      <w:bookmarkStart w:id="93" w:name="_Toc8288"/>
      <w:bookmarkStart w:id="94" w:name="_Toc10235"/>
      <w:bookmarkStart w:id="95" w:name="_Toc26775"/>
      <w:r>
        <w:rPr>
          <w:rFonts w:hint="eastAsia" w:ascii="宋体" w:hAnsi="宋体" w:eastAsia="宋体" w:cs="Times New Roman"/>
          <w:color w:val="auto"/>
          <w:sz w:val="21"/>
          <w:szCs w:val="21"/>
          <w:highlight w:val="none"/>
        </w:rPr>
        <w:t>1. 总则</w:t>
      </w:r>
      <w:bookmarkEnd w:id="86"/>
      <w:bookmarkEnd w:id="87"/>
      <w:bookmarkEnd w:id="88"/>
      <w:bookmarkEnd w:id="89"/>
      <w:bookmarkEnd w:id="90"/>
      <w:bookmarkEnd w:id="91"/>
      <w:bookmarkEnd w:id="92"/>
      <w:bookmarkEnd w:id="93"/>
      <w:bookmarkEnd w:id="94"/>
      <w:bookmarkEnd w:id="95"/>
    </w:p>
    <w:p w14:paraId="29948D15">
      <w:pPr>
        <w:pStyle w:val="68"/>
        <w:ind w:left="0" w:firstLine="0"/>
        <w:outlineLvl w:val="0"/>
        <w:rPr>
          <w:rFonts w:ascii="宋体" w:hAnsi="宋体" w:eastAsia="宋体" w:cs="Times New Roman"/>
          <w:color w:val="auto"/>
          <w:sz w:val="21"/>
          <w:szCs w:val="21"/>
          <w:highlight w:val="none"/>
        </w:rPr>
      </w:pPr>
      <w:bookmarkStart w:id="96" w:name="_Toc3026"/>
      <w:bookmarkStart w:id="97" w:name="_Toc19746"/>
      <w:bookmarkStart w:id="98" w:name="_Toc3971"/>
      <w:bookmarkStart w:id="99" w:name="_Toc10832"/>
      <w:bookmarkStart w:id="100" w:name="_Toc152045530"/>
      <w:bookmarkStart w:id="101" w:name="_Toc29615"/>
      <w:bookmarkStart w:id="102" w:name="_Toc144974498"/>
      <w:bookmarkStart w:id="103" w:name="_Toc1750"/>
      <w:bookmarkStart w:id="104" w:name="_Toc152042306"/>
      <w:bookmarkStart w:id="105" w:name="_Toc179632547"/>
      <w:r>
        <w:rPr>
          <w:rFonts w:hint="eastAsia" w:ascii="宋体" w:hAnsi="宋体" w:eastAsia="宋体" w:cs="Times New Roman"/>
          <w:color w:val="auto"/>
          <w:sz w:val="21"/>
          <w:szCs w:val="21"/>
          <w:highlight w:val="none"/>
        </w:rPr>
        <w:t>1.1 项目概况</w:t>
      </w:r>
      <w:bookmarkEnd w:id="96"/>
      <w:bookmarkEnd w:id="97"/>
      <w:bookmarkEnd w:id="98"/>
      <w:bookmarkEnd w:id="99"/>
      <w:bookmarkEnd w:id="100"/>
      <w:bookmarkEnd w:id="101"/>
      <w:bookmarkEnd w:id="102"/>
      <w:bookmarkEnd w:id="103"/>
      <w:bookmarkEnd w:id="104"/>
      <w:bookmarkEnd w:id="105"/>
    </w:p>
    <w:p w14:paraId="761A875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1.1.1 根据《中华人民共和国招标投标法》、《中华人民共和国招标投标法实施条例》、《公路工程建设项目招标投标管理办法》等有关法律、法规和规章的规定，本发包项目已具备发包条件，现对本标段设计进行发包。</w:t>
      </w:r>
    </w:p>
    <w:p w14:paraId="435C8A8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1.1.2 本发包项目发包人：见竞包人须知前附表。</w:t>
      </w:r>
    </w:p>
    <w:p w14:paraId="5702374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1.1.3 本标段发包代理机构：见竞包人须知前附表。</w:t>
      </w:r>
    </w:p>
    <w:p w14:paraId="00A7BFF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1.1.4 本发包项目名称：见竞包人须知前附表。</w:t>
      </w:r>
    </w:p>
    <w:p w14:paraId="59FA82A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1.1.5 本标段建设地点：见竞包人须知前附表。</w:t>
      </w:r>
    </w:p>
    <w:p w14:paraId="66033FE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1.1.6 本标段建设规模：见竞包人须知前附表。</w:t>
      </w:r>
    </w:p>
    <w:p w14:paraId="3404535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1.1.7 本标段投资估算：见竞包人须知前附表。</w:t>
      </w:r>
    </w:p>
    <w:p w14:paraId="6FA586E2">
      <w:pPr>
        <w:pStyle w:val="68"/>
        <w:ind w:left="0" w:firstLine="0"/>
        <w:outlineLvl w:val="0"/>
        <w:rPr>
          <w:rFonts w:ascii="宋体" w:hAnsi="宋体" w:eastAsia="宋体" w:cs="Times New Roman"/>
          <w:color w:val="auto"/>
          <w:sz w:val="21"/>
          <w:szCs w:val="21"/>
          <w:highlight w:val="none"/>
        </w:rPr>
      </w:pPr>
      <w:bookmarkStart w:id="106" w:name="_Toc179632548"/>
      <w:bookmarkStart w:id="107" w:name="_Toc1672"/>
      <w:bookmarkStart w:id="108" w:name="_Toc7730"/>
      <w:bookmarkStart w:id="109" w:name="_Toc32070"/>
      <w:bookmarkStart w:id="110" w:name="_Toc30622"/>
      <w:bookmarkStart w:id="111" w:name="_Toc152045531"/>
      <w:bookmarkStart w:id="112" w:name="_Toc144974499"/>
      <w:bookmarkStart w:id="113" w:name="_Toc8179"/>
      <w:bookmarkStart w:id="114" w:name="_Toc152042307"/>
      <w:bookmarkStart w:id="115" w:name="_Toc19140"/>
      <w:r>
        <w:rPr>
          <w:rFonts w:hint="eastAsia" w:ascii="宋体" w:hAnsi="宋体" w:eastAsia="宋体" w:cs="Times New Roman"/>
          <w:color w:val="auto"/>
          <w:sz w:val="21"/>
          <w:szCs w:val="21"/>
          <w:highlight w:val="none"/>
        </w:rPr>
        <w:t>1.2 发包项目的资金来源和落实情况</w:t>
      </w:r>
      <w:bookmarkEnd w:id="106"/>
      <w:bookmarkEnd w:id="107"/>
      <w:bookmarkEnd w:id="108"/>
      <w:bookmarkEnd w:id="109"/>
      <w:bookmarkEnd w:id="110"/>
      <w:bookmarkEnd w:id="111"/>
      <w:bookmarkEnd w:id="112"/>
      <w:bookmarkEnd w:id="113"/>
      <w:bookmarkEnd w:id="114"/>
      <w:bookmarkEnd w:id="115"/>
    </w:p>
    <w:p w14:paraId="65E19C3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1.2.1 资金来源及比例：见竞包人须知前附表。</w:t>
      </w:r>
    </w:p>
    <w:p w14:paraId="46C117F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1.2.2 资金落实情况：见竞包人须知前附表。</w:t>
      </w:r>
    </w:p>
    <w:p w14:paraId="20184EB3">
      <w:pPr>
        <w:pStyle w:val="68"/>
        <w:ind w:left="0" w:firstLine="0"/>
        <w:outlineLvl w:val="0"/>
        <w:rPr>
          <w:rFonts w:ascii="宋体" w:hAnsi="宋体" w:eastAsia="宋体" w:cs="Times New Roman"/>
          <w:color w:val="auto"/>
          <w:sz w:val="21"/>
          <w:szCs w:val="21"/>
          <w:highlight w:val="none"/>
        </w:rPr>
      </w:pPr>
      <w:bookmarkStart w:id="116" w:name="_Toc152045532"/>
      <w:bookmarkStart w:id="117" w:name="_Toc152042308"/>
      <w:bookmarkStart w:id="118" w:name="_Toc144974500"/>
      <w:bookmarkStart w:id="119" w:name="_Toc179632549"/>
      <w:bookmarkStart w:id="120" w:name="_Toc25904"/>
      <w:bookmarkStart w:id="121" w:name="_Toc19191"/>
      <w:bookmarkStart w:id="122" w:name="_Toc5638"/>
      <w:bookmarkStart w:id="123" w:name="_Toc2097"/>
      <w:bookmarkStart w:id="124" w:name="_Toc24069"/>
      <w:bookmarkStart w:id="125" w:name="_Toc27307"/>
      <w:r>
        <w:rPr>
          <w:rFonts w:hint="eastAsia" w:ascii="宋体" w:hAnsi="宋体" w:eastAsia="宋体" w:cs="Times New Roman"/>
          <w:color w:val="auto"/>
          <w:sz w:val="21"/>
          <w:szCs w:val="21"/>
          <w:highlight w:val="none"/>
        </w:rPr>
        <w:t>1.3 发包范围</w:t>
      </w:r>
      <w:bookmarkEnd w:id="116"/>
      <w:bookmarkEnd w:id="117"/>
      <w:bookmarkEnd w:id="118"/>
      <w:bookmarkEnd w:id="119"/>
      <w:r>
        <w:rPr>
          <w:rFonts w:hint="eastAsia" w:ascii="宋体" w:hAnsi="宋体" w:eastAsia="宋体" w:cs="Times New Roman"/>
          <w:color w:val="auto"/>
          <w:sz w:val="21"/>
          <w:szCs w:val="21"/>
          <w:highlight w:val="none"/>
        </w:rPr>
        <w:t>、设计服务期限、质量要求和安全目标</w:t>
      </w:r>
      <w:bookmarkEnd w:id="120"/>
      <w:bookmarkEnd w:id="121"/>
      <w:bookmarkEnd w:id="122"/>
      <w:bookmarkEnd w:id="123"/>
      <w:bookmarkEnd w:id="124"/>
      <w:bookmarkEnd w:id="125"/>
    </w:p>
    <w:p w14:paraId="1D58488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1.3.1 发包范围：见竞包人须知前附表。</w:t>
      </w:r>
    </w:p>
    <w:p w14:paraId="59F7D8C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1.3.2 本标段的设计服务期限：见竞包人须知前附表。</w:t>
      </w:r>
    </w:p>
    <w:p w14:paraId="6B1FE2E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1.3.3 本标段的质量要求：见竞包人须知前附表。</w:t>
      </w:r>
    </w:p>
    <w:p w14:paraId="4712199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1.3.4 本标段的安全目标：见竞包人须知前附表。</w:t>
      </w:r>
    </w:p>
    <w:p w14:paraId="4686331A">
      <w:pPr>
        <w:pStyle w:val="68"/>
        <w:ind w:left="0" w:firstLine="0"/>
        <w:outlineLvl w:val="0"/>
        <w:rPr>
          <w:rFonts w:ascii="宋体" w:hAnsi="宋体" w:eastAsia="宋体" w:cs="Times New Roman"/>
          <w:color w:val="auto"/>
          <w:sz w:val="21"/>
          <w:szCs w:val="21"/>
          <w:highlight w:val="none"/>
        </w:rPr>
      </w:pPr>
      <w:bookmarkStart w:id="126" w:name="_Toc30781"/>
      <w:bookmarkStart w:id="127" w:name="_Toc26375"/>
      <w:bookmarkStart w:id="128" w:name="_Toc5692"/>
      <w:bookmarkStart w:id="129" w:name="_Toc9233"/>
      <w:bookmarkStart w:id="130" w:name="_Toc23763"/>
      <w:bookmarkStart w:id="131" w:name="_Toc499"/>
      <w:r>
        <w:rPr>
          <w:rFonts w:hint="eastAsia" w:ascii="宋体" w:hAnsi="宋体" w:eastAsia="宋体" w:cs="Times New Roman"/>
          <w:color w:val="auto"/>
          <w:sz w:val="21"/>
          <w:szCs w:val="21"/>
          <w:highlight w:val="none"/>
        </w:rPr>
        <w:t>1.4 竞包人资格要求</w:t>
      </w:r>
      <w:bookmarkEnd w:id="126"/>
      <w:bookmarkEnd w:id="127"/>
      <w:bookmarkEnd w:id="128"/>
      <w:bookmarkEnd w:id="129"/>
      <w:bookmarkEnd w:id="130"/>
      <w:bookmarkEnd w:id="131"/>
    </w:p>
    <w:p w14:paraId="151B97E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1.4.1 竞包人应具备承担本标段设计的资质条件、能力和信誉。</w:t>
      </w:r>
    </w:p>
    <w:p w14:paraId="43F6278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（1）资质要求：见竞包人须知前附表；</w:t>
      </w:r>
    </w:p>
    <w:p w14:paraId="3E94CE6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（2）业绩要求：见竞包人须知前附表；</w:t>
      </w:r>
    </w:p>
    <w:p w14:paraId="17701A0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（3）信誉要求：见竞包人须知前附表；</w:t>
      </w:r>
    </w:p>
    <w:p w14:paraId="38EE802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（4）项目负责人资格：见竞包人须知前附表；</w:t>
      </w:r>
    </w:p>
    <w:p w14:paraId="6F5CD01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（5）其他要求：见竞包人须知前附表。</w:t>
      </w:r>
    </w:p>
    <w:p w14:paraId="5B78E77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需要提交的相关证明材料见本章第3.5款的规定。</w:t>
      </w:r>
    </w:p>
    <w:p w14:paraId="0D92FC4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1.4.2 竞包人须知前附表规定接受联合体竞包的，联合体除应符合本章第1.4.1项和竞包人须知前附表的要求外，还应遵守以下规定：</w:t>
      </w:r>
    </w:p>
    <w:p w14:paraId="1033933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（1）联合体各方应按发包文件提供的格式签订联合体协议书，明确联合体牵头人和各方权利义务，并承诺就中包项目向发包人承担连带责任；</w:t>
      </w:r>
    </w:p>
    <w:p w14:paraId="0B63C1C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（2）由同一专业的单位组成的联合体，按照资质等级较低的单位确定资质等级；</w:t>
      </w:r>
    </w:p>
    <w:p w14:paraId="3D5EF8D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（3）联合体各方不得再以自已名义单独或参加其他联合体在同一标段中竞包；</w:t>
      </w:r>
    </w:p>
    <w:p w14:paraId="4903493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联合体各方应分别按照本发包文件的要求，填写竞包文件中的相应表格，并由联合体牵头人负责对联合体各成员的资料进行统一汇总后一并提交给发包人；联合体牵头人所提交的竞包文件应认为已代表了联合体各成员的真实情况；</w:t>
      </w:r>
    </w:p>
    <w:p w14:paraId="4EBB293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（5）尽管委任了联合体牵头人，但联合体各成员在竞包、签订合同与履行合同过程中，仍负有连带的和各自的法律责任。</w:t>
      </w:r>
    </w:p>
    <w:p w14:paraId="037A5ED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1.4.3 竞包人（包括联合体各成员）不得与本标段相关单位存在下列关联情形：</w:t>
      </w:r>
    </w:p>
    <w:p w14:paraId="025B195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（1）为发包人不具有独立法人资格的附属机构（单位）；</w:t>
      </w:r>
    </w:p>
    <w:p w14:paraId="4A3CEB0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（2）与发包人存在利害关系且可能影响发包公正性；</w:t>
      </w:r>
    </w:p>
    <w:p w14:paraId="6FF983C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（3）与本标段的其他竞包人同为一个单位负责人；</w:t>
      </w:r>
    </w:p>
    <w:p w14:paraId="410879D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（4）与本标段的其他竞包人存在控股、管理关系；</w:t>
      </w:r>
    </w:p>
    <w:p w14:paraId="32EE1F9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（5）为本标段的代建人；</w:t>
      </w:r>
    </w:p>
    <w:p w14:paraId="653F5FA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（6）为本标段的发包代理机构；</w:t>
      </w:r>
    </w:p>
    <w:p w14:paraId="170547F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（7）与本标段的代建人或发包代理机构同为一个法定代表人；</w:t>
      </w:r>
    </w:p>
    <w:p w14:paraId="49A1A84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（8）与本标段的代建人或发包代理机构存在控股或参股关系；</w:t>
      </w:r>
    </w:p>
    <w:p w14:paraId="59864B9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（9）</w:t>
      </w:r>
      <w:bookmarkStart w:id="132" w:name="_Toc152045535"/>
      <w:bookmarkStart w:id="133" w:name="_Toc179632552"/>
      <w:bookmarkStart w:id="134" w:name="_Toc152042311"/>
      <w:bookmarkStart w:id="135" w:name="_Toc144974503"/>
      <w:r>
        <w:rPr>
          <w:rFonts w:hint="eastAsia" w:ascii="宋体" w:hAnsi="宋体"/>
          <w:color w:val="auto"/>
          <w:szCs w:val="21"/>
          <w:highlight w:val="none"/>
        </w:rPr>
        <w:t>法律法规或竞包人须知前附表规定的其他情形。</w:t>
      </w:r>
    </w:p>
    <w:p w14:paraId="376A45D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1.4.4 竞包人（包括联合体各成员）不得存在下列不良状况或不良信用记录：</w:t>
      </w:r>
    </w:p>
    <w:p w14:paraId="456356A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（1）被交通运输部、浙江省交通运输厅、浙江省发展和改革委员会取消竞包资格或禁止进入浙江省建设市场且处于有效期内；</w:t>
      </w:r>
    </w:p>
    <w:p w14:paraId="1B4BDC0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（2）被责令停业，暂扣或吊销执照，或吊销资质证书；</w:t>
      </w:r>
    </w:p>
    <w:p w14:paraId="7E3FDDE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（3）进入清算程序，或被宣告破产，或其他丧失履约能力的情形；</w:t>
      </w:r>
    </w:p>
    <w:p w14:paraId="195FBAB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（4）在国家企业信用信息公示系统（http://www.gsxt.gov.cn/）中被列入严重违法失信企业名单；</w:t>
      </w:r>
    </w:p>
    <w:p w14:paraId="7EDB32C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（5）在“信用中国”网站（http://www.creditchina.gov.cn/）中被列入失信被执行人名单；</w:t>
      </w:r>
    </w:p>
    <w:p w14:paraId="33AEC65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竞包人或其法定代表人、拟委任的项目负责人在竞包人须知前附表规定日期后有行贿犯罪行为的（行贿犯罪行为的认定以中国裁判文书网（http://wenshu.court.gov.cn/）查询结果为准，竞包文件中无需提供查询结果）；</w:t>
      </w:r>
    </w:p>
    <w:p w14:paraId="4357A8C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（7）法律法规或竞包人须知前附表规定的其他情形。</w:t>
      </w:r>
    </w:p>
    <w:p w14:paraId="1EF7D3B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1.4.5 设计甲、乙级资质的竞包人（联合体竞包的指承担设计任务的所有成员）应进入交通运输部“全国公路建设市场监督管理系统（https://hwdms.mot.gov.cn/BMWebSite/）”中的公路工程设计资质企业名录，且竞包人名称和资质与该名录中的相应企业名称和资质完全一致。竞包人不满足本项规定条件的，将被否决竞包。</w:t>
      </w:r>
    </w:p>
    <w:p w14:paraId="5EC705F2">
      <w:pPr>
        <w:pStyle w:val="68"/>
        <w:ind w:left="0" w:firstLine="0"/>
        <w:outlineLvl w:val="0"/>
        <w:rPr>
          <w:rFonts w:ascii="宋体" w:hAnsi="宋体" w:eastAsia="宋体" w:cs="Times New Roman"/>
          <w:color w:val="auto"/>
          <w:sz w:val="21"/>
          <w:szCs w:val="21"/>
          <w:highlight w:val="none"/>
        </w:rPr>
      </w:pPr>
      <w:bookmarkStart w:id="136" w:name="_Toc10803"/>
      <w:bookmarkStart w:id="137" w:name="_Toc17384"/>
      <w:bookmarkStart w:id="138" w:name="_Toc2679"/>
      <w:bookmarkStart w:id="139" w:name="_Toc4986"/>
      <w:bookmarkStart w:id="140" w:name="_Toc18313"/>
      <w:bookmarkStart w:id="141" w:name="_Toc13171"/>
      <w:r>
        <w:rPr>
          <w:rFonts w:hint="eastAsia" w:ascii="宋体" w:hAnsi="宋体" w:eastAsia="宋体" w:cs="Times New Roman"/>
          <w:color w:val="auto"/>
          <w:sz w:val="21"/>
          <w:szCs w:val="21"/>
          <w:highlight w:val="none"/>
        </w:rPr>
        <w:t>1.5 费用承担</w:t>
      </w:r>
      <w:bookmarkEnd w:id="132"/>
      <w:bookmarkEnd w:id="133"/>
      <w:bookmarkEnd w:id="134"/>
      <w:bookmarkEnd w:id="135"/>
      <w:bookmarkEnd w:id="136"/>
      <w:bookmarkEnd w:id="137"/>
      <w:bookmarkEnd w:id="138"/>
      <w:bookmarkEnd w:id="139"/>
      <w:bookmarkEnd w:id="140"/>
      <w:bookmarkEnd w:id="141"/>
    </w:p>
    <w:p w14:paraId="1CA5D40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竞包人准备和参加竞包活动发生的所有费用自理。</w:t>
      </w:r>
    </w:p>
    <w:p w14:paraId="5B74ED32">
      <w:pPr>
        <w:pStyle w:val="68"/>
        <w:ind w:left="0" w:firstLine="0"/>
        <w:outlineLvl w:val="0"/>
        <w:rPr>
          <w:rFonts w:ascii="宋体" w:hAnsi="宋体" w:eastAsia="宋体" w:cs="Times New Roman"/>
          <w:color w:val="auto"/>
          <w:sz w:val="21"/>
          <w:szCs w:val="21"/>
          <w:highlight w:val="none"/>
        </w:rPr>
      </w:pPr>
      <w:bookmarkStart w:id="142" w:name="_Toc7256"/>
      <w:bookmarkStart w:id="143" w:name="_Toc4077"/>
      <w:bookmarkStart w:id="144" w:name="_Toc152042312"/>
      <w:bookmarkStart w:id="145" w:name="_Toc152045536"/>
      <w:bookmarkStart w:id="146" w:name="_Toc17238"/>
      <w:bookmarkStart w:id="147" w:name="_Toc179632553"/>
      <w:bookmarkStart w:id="148" w:name="_Toc144974504"/>
      <w:bookmarkStart w:id="149" w:name="_Toc5590"/>
      <w:bookmarkStart w:id="150" w:name="_Toc10609"/>
      <w:bookmarkStart w:id="151" w:name="_Toc29325"/>
      <w:r>
        <w:rPr>
          <w:rFonts w:hint="eastAsia" w:ascii="宋体" w:hAnsi="宋体" w:eastAsia="宋体" w:cs="Times New Roman"/>
          <w:color w:val="auto"/>
          <w:sz w:val="21"/>
          <w:szCs w:val="21"/>
          <w:highlight w:val="none"/>
        </w:rPr>
        <w:t>1.6 保密</w:t>
      </w:r>
      <w:bookmarkEnd w:id="142"/>
      <w:bookmarkEnd w:id="143"/>
      <w:bookmarkEnd w:id="144"/>
      <w:bookmarkEnd w:id="145"/>
      <w:bookmarkEnd w:id="146"/>
      <w:bookmarkEnd w:id="147"/>
      <w:bookmarkEnd w:id="148"/>
      <w:bookmarkEnd w:id="149"/>
      <w:bookmarkEnd w:id="150"/>
      <w:bookmarkEnd w:id="151"/>
    </w:p>
    <w:p w14:paraId="430877F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参与发包竞包活动的各方应对发包文件和竞包文件中的商业和技术等秘密保密，违者应对由此造成的后果承担法律责任。 </w:t>
      </w:r>
    </w:p>
    <w:p w14:paraId="0102BC9C">
      <w:pPr>
        <w:pStyle w:val="68"/>
        <w:ind w:left="0" w:firstLine="0"/>
        <w:outlineLvl w:val="0"/>
        <w:rPr>
          <w:rFonts w:ascii="宋体" w:hAnsi="宋体" w:eastAsia="宋体" w:cs="Times New Roman"/>
          <w:color w:val="auto"/>
          <w:sz w:val="21"/>
          <w:szCs w:val="21"/>
          <w:highlight w:val="none"/>
        </w:rPr>
      </w:pPr>
      <w:bookmarkStart w:id="152" w:name="_Toc144974505"/>
      <w:bookmarkStart w:id="153" w:name="_Toc30463"/>
      <w:bookmarkStart w:id="154" w:name="_Toc15621"/>
      <w:bookmarkStart w:id="155" w:name="_Toc152045537"/>
      <w:bookmarkStart w:id="156" w:name="_Toc31007"/>
      <w:bookmarkStart w:id="157" w:name="_Toc7265"/>
      <w:bookmarkStart w:id="158" w:name="_Toc152042313"/>
      <w:bookmarkStart w:id="159" w:name="_Toc179632554"/>
      <w:bookmarkStart w:id="160" w:name="_Toc20548"/>
      <w:bookmarkStart w:id="161" w:name="_Toc20362"/>
      <w:r>
        <w:rPr>
          <w:rFonts w:hint="eastAsia" w:ascii="宋体" w:hAnsi="宋体" w:eastAsia="宋体" w:cs="Times New Roman"/>
          <w:color w:val="auto"/>
          <w:sz w:val="21"/>
          <w:szCs w:val="21"/>
          <w:highlight w:val="none"/>
        </w:rPr>
        <w:t>1.7 语言</w:t>
      </w:r>
      <w:bookmarkEnd w:id="152"/>
      <w:r>
        <w:rPr>
          <w:rFonts w:hint="eastAsia" w:ascii="宋体" w:hAnsi="宋体" w:eastAsia="宋体" w:cs="Times New Roman"/>
          <w:color w:val="auto"/>
          <w:sz w:val="21"/>
          <w:szCs w:val="21"/>
          <w:highlight w:val="none"/>
        </w:rPr>
        <w:t>文字</w:t>
      </w:r>
      <w:bookmarkEnd w:id="153"/>
      <w:bookmarkEnd w:id="154"/>
      <w:bookmarkEnd w:id="155"/>
      <w:bookmarkEnd w:id="156"/>
      <w:bookmarkEnd w:id="157"/>
      <w:bookmarkEnd w:id="158"/>
      <w:bookmarkEnd w:id="159"/>
      <w:bookmarkEnd w:id="160"/>
      <w:bookmarkEnd w:id="161"/>
    </w:p>
    <w:p w14:paraId="1019894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发包竞包使用的语言文字为中文。专用术语使用外文的，应附有中文注释。</w:t>
      </w:r>
    </w:p>
    <w:p w14:paraId="52DA2075">
      <w:pPr>
        <w:pStyle w:val="68"/>
        <w:ind w:left="0" w:firstLine="0"/>
        <w:outlineLvl w:val="0"/>
        <w:rPr>
          <w:rFonts w:ascii="宋体" w:hAnsi="宋体" w:eastAsia="宋体" w:cs="Times New Roman"/>
          <w:color w:val="auto"/>
          <w:sz w:val="21"/>
          <w:szCs w:val="21"/>
          <w:highlight w:val="none"/>
        </w:rPr>
      </w:pPr>
      <w:bookmarkStart w:id="162" w:name="_Toc29456"/>
      <w:bookmarkStart w:id="163" w:name="_Toc179632555"/>
      <w:bookmarkStart w:id="164" w:name="_Toc152042314"/>
      <w:bookmarkStart w:id="165" w:name="_Toc16759"/>
      <w:bookmarkStart w:id="166" w:name="_Toc152045538"/>
      <w:bookmarkStart w:id="167" w:name="_Toc2101"/>
      <w:bookmarkStart w:id="168" w:name="_Toc15497"/>
      <w:bookmarkStart w:id="169" w:name="_Toc144974506"/>
      <w:bookmarkStart w:id="170" w:name="_Toc6403"/>
      <w:bookmarkStart w:id="171" w:name="_Toc32733"/>
      <w:r>
        <w:rPr>
          <w:rFonts w:hint="eastAsia" w:ascii="宋体" w:hAnsi="宋体" w:eastAsia="宋体" w:cs="Times New Roman"/>
          <w:color w:val="auto"/>
          <w:sz w:val="21"/>
          <w:szCs w:val="21"/>
          <w:highlight w:val="none"/>
        </w:rPr>
        <w:t>1.8 计量单位</w:t>
      </w:r>
      <w:bookmarkEnd w:id="162"/>
      <w:bookmarkEnd w:id="163"/>
      <w:bookmarkEnd w:id="164"/>
      <w:bookmarkEnd w:id="165"/>
      <w:bookmarkEnd w:id="166"/>
      <w:bookmarkEnd w:id="167"/>
      <w:bookmarkEnd w:id="168"/>
      <w:bookmarkEnd w:id="169"/>
      <w:bookmarkEnd w:id="170"/>
      <w:bookmarkEnd w:id="171"/>
    </w:p>
    <w:p w14:paraId="5A55E36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所有计量均采用中华人民共和国法定计量单位。</w:t>
      </w:r>
    </w:p>
    <w:p w14:paraId="512FD196">
      <w:pPr>
        <w:pStyle w:val="68"/>
        <w:ind w:left="0" w:firstLine="0"/>
        <w:outlineLvl w:val="0"/>
        <w:rPr>
          <w:rFonts w:ascii="宋体" w:hAnsi="宋体" w:eastAsia="宋体" w:cs="Times New Roman"/>
          <w:color w:val="auto"/>
          <w:sz w:val="21"/>
          <w:szCs w:val="21"/>
          <w:highlight w:val="none"/>
        </w:rPr>
      </w:pPr>
      <w:bookmarkStart w:id="172" w:name="_Toc14645"/>
      <w:bookmarkStart w:id="173" w:name="_Toc18458"/>
      <w:bookmarkStart w:id="174" w:name="_Toc18935"/>
      <w:bookmarkStart w:id="175" w:name="_Toc23039"/>
      <w:bookmarkStart w:id="176" w:name="_Toc15861"/>
      <w:bookmarkStart w:id="177" w:name="_Toc152042315"/>
      <w:bookmarkStart w:id="178" w:name="_Toc144974507"/>
      <w:bookmarkStart w:id="179" w:name="_Toc152045539"/>
      <w:bookmarkStart w:id="180" w:name="_Toc32046"/>
      <w:bookmarkStart w:id="181" w:name="_Toc179632556"/>
      <w:r>
        <w:rPr>
          <w:rFonts w:hint="eastAsia" w:ascii="宋体" w:hAnsi="宋体" w:eastAsia="宋体" w:cs="Times New Roman"/>
          <w:color w:val="auto"/>
          <w:sz w:val="21"/>
          <w:szCs w:val="21"/>
          <w:highlight w:val="none"/>
        </w:rPr>
        <w:t>1.9 踏勘现场</w:t>
      </w:r>
      <w:bookmarkEnd w:id="172"/>
      <w:bookmarkEnd w:id="173"/>
      <w:bookmarkEnd w:id="174"/>
      <w:bookmarkEnd w:id="175"/>
      <w:bookmarkEnd w:id="176"/>
      <w:bookmarkEnd w:id="177"/>
      <w:bookmarkEnd w:id="178"/>
      <w:bookmarkEnd w:id="179"/>
      <w:bookmarkEnd w:id="180"/>
      <w:bookmarkEnd w:id="181"/>
    </w:p>
    <w:p w14:paraId="22F879A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1.9.1 第一章“发包公告”规定组织踏勘现场的，发包人按规定的时间、地点组织竞包人踏勘项目现场。部分竞包人未按时参加踏勘现场的，不影响踏勘现场的正常进行。发包人不得组织单个或部分竞包人踏勘项目现场。</w:t>
      </w:r>
    </w:p>
    <w:p w14:paraId="0D7E69C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1.9.2 竞包人踏勘现场发生的费用自理。</w:t>
      </w:r>
    </w:p>
    <w:p w14:paraId="2548A20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1.9.3 除发包人的原因外，竞包人自行负责在踏勘现场中所发生的人员伤亡和财产损失。</w:t>
      </w:r>
    </w:p>
    <w:p w14:paraId="37CCFB1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1.9.4 发包人在踏勘现场中介绍的工程场地和相关的周边环境情况，供竞包人在编制竞包文件时参考，发包人不对竞包人据此作出的判断和决策负责。</w:t>
      </w:r>
    </w:p>
    <w:p w14:paraId="0D0C93BE">
      <w:pPr>
        <w:pStyle w:val="68"/>
        <w:ind w:left="0" w:firstLine="0"/>
        <w:outlineLvl w:val="0"/>
        <w:rPr>
          <w:rFonts w:ascii="宋体" w:hAnsi="宋体" w:eastAsia="宋体" w:cs="Times New Roman"/>
          <w:color w:val="auto"/>
          <w:sz w:val="21"/>
          <w:szCs w:val="21"/>
          <w:highlight w:val="none"/>
        </w:rPr>
      </w:pPr>
      <w:bookmarkStart w:id="182" w:name="_Toc152042316"/>
      <w:bookmarkStart w:id="183" w:name="_Toc19166"/>
      <w:bookmarkStart w:id="184" w:name="_Toc179632557"/>
      <w:bookmarkStart w:id="185" w:name="_Toc13935"/>
      <w:bookmarkStart w:id="186" w:name="_Toc11116"/>
      <w:bookmarkStart w:id="187" w:name="_Toc152045540"/>
      <w:bookmarkStart w:id="188" w:name="_Toc144974508"/>
      <w:bookmarkStart w:id="189" w:name="_Toc22105"/>
      <w:bookmarkStart w:id="190" w:name="_Toc15155"/>
      <w:bookmarkStart w:id="191" w:name="_Toc2705"/>
      <w:r>
        <w:rPr>
          <w:rFonts w:hint="eastAsia" w:ascii="宋体" w:hAnsi="宋体" w:eastAsia="宋体" w:cs="Times New Roman"/>
          <w:color w:val="auto"/>
          <w:sz w:val="21"/>
          <w:szCs w:val="21"/>
          <w:highlight w:val="none"/>
        </w:rPr>
        <w:t>1.10 竞包预备会</w:t>
      </w:r>
      <w:bookmarkEnd w:id="182"/>
      <w:bookmarkEnd w:id="183"/>
      <w:bookmarkEnd w:id="184"/>
      <w:bookmarkEnd w:id="185"/>
      <w:bookmarkEnd w:id="186"/>
      <w:bookmarkEnd w:id="187"/>
      <w:bookmarkEnd w:id="188"/>
      <w:bookmarkEnd w:id="189"/>
      <w:bookmarkEnd w:id="190"/>
      <w:bookmarkEnd w:id="191"/>
    </w:p>
    <w:p w14:paraId="0374131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1.10.1 第一章“发包公告”规定召开竞包预备会的，发包人按规定的时间和地点召开竞包预备会，澄清竞包人提出的问题。</w:t>
      </w:r>
    </w:p>
    <w:p w14:paraId="303901D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1.10.2 竞包人应按竞包人须知前附表规定的时间和形式将提出的问题送达发包人，以便发包人在会议期间澄清。</w:t>
      </w:r>
    </w:p>
    <w:p w14:paraId="5C3FBDA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1.10.3 竞包预备会后，发包人将对竞包人所提问题的澄清，以本章第2.2款规定的形式通知所有获取发包文件的竞包人。该澄清内容为发包文件的组成部分。</w:t>
      </w:r>
    </w:p>
    <w:p w14:paraId="1916DD3C">
      <w:pPr>
        <w:pStyle w:val="68"/>
        <w:ind w:left="0" w:firstLine="0"/>
        <w:outlineLvl w:val="0"/>
        <w:rPr>
          <w:rFonts w:ascii="宋体" w:hAnsi="宋体" w:eastAsia="宋体" w:cs="Times New Roman"/>
          <w:color w:val="auto"/>
          <w:sz w:val="21"/>
          <w:szCs w:val="21"/>
          <w:highlight w:val="none"/>
        </w:rPr>
      </w:pPr>
      <w:bookmarkStart w:id="192" w:name="_Toc152045541"/>
      <w:bookmarkStart w:id="193" w:name="_Toc12340"/>
      <w:bookmarkStart w:id="194" w:name="_Toc18729"/>
      <w:bookmarkStart w:id="195" w:name="_Toc179632558"/>
      <w:bookmarkStart w:id="196" w:name="_Toc152042317"/>
      <w:bookmarkStart w:id="197" w:name="_Toc144974509"/>
      <w:bookmarkStart w:id="198" w:name="_Toc21543"/>
      <w:bookmarkStart w:id="199" w:name="_Toc12768"/>
      <w:bookmarkStart w:id="200" w:name="_Toc19521"/>
      <w:bookmarkStart w:id="201" w:name="_Toc30221"/>
      <w:r>
        <w:rPr>
          <w:rFonts w:hint="eastAsia" w:ascii="宋体" w:hAnsi="宋体" w:eastAsia="宋体" w:cs="Times New Roman"/>
          <w:color w:val="auto"/>
          <w:sz w:val="21"/>
          <w:szCs w:val="21"/>
          <w:highlight w:val="none"/>
        </w:rPr>
        <w:t>1.11 分包</w:t>
      </w:r>
      <w:bookmarkEnd w:id="192"/>
      <w:bookmarkEnd w:id="193"/>
      <w:bookmarkEnd w:id="194"/>
      <w:bookmarkEnd w:id="195"/>
      <w:bookmarkEnd w:id="196"/>
      <w:bookmarkEnd w:id="197"/>
      <w:bookmarkEnd w:id="198"/>
      <w:bookmarkEnd w:id="199"/>
      <w:bookmarkEnd w:id="200"/>
      <w:bookmarkEnd w:id="201"/>
    </w:p>
    <w:p w14:paraId="2B50D53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 1.11.1 竞包人拟在中包后将中包项目的非主体、非关键性设计工作进行分包的，应符合以下规定：</w:t>
      </w:r>
    </w:p>
    <w:p w14:paraId="4D2B10B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（1）分包内容要求：允许分包的范围仅限于工程设计中跨专业或者有特殊要求的设计工作。发包人允许分包或不允许分包的工程（如有）应在竞包人须知前附表中载明。</w:t>
      </w:r>
    </w:p>
    <w:p w14:paraId="3DA8B8E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（2）接受分包的第三人资格要求：分包人的资格能力应与其分包工作的标准和规模相适应，且具备竞包人须知前附表中规定的资格条件。</w:t>
      </w:r>
    </w:p>
    <w:p w14:paraId="53FDC0D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（3）其他要求：竞包人如有分包计划，应按第六章“竞包文件格式”的要求填写“拟分包项目情况表”，明确拟分包的工程及规模，且竞包人中包后的分包应满足合同条款第4.3款的相关要求。</w:t>
      </w:r>
    </w:p>
    <w:p w14:paraId="1EE2A83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1.11.2 中包人不得向他人转让中包项目，接受分包的人不得再次分包。中包人应就分包项目向发包人负责，接受分包的人就分包项目承担连带责任。</w:t>
      </w:r>
    </w:p>
    <w:p w14:paraId="47330787">
      <w:pPr>
        <w:pStyle w:val="68"/>
        <w:ind w:left="0" w:firstLine="0"/>
        <w:outlineLvl w:val="0"/>
        <w:rPr>
          <w:rFonts w:ascii="宋体" w:hAnsi="宋体" w:eastAsia="宋体" w:cs="Times New Roman"/>
          <w:color w:val="auto"/>
          <w:sz w:val="21"/>
          <w:szCs w:val="21"/>
          <w:highlight w:val="none"/>
        </w:rPr>
      </w:pPr>
      <w:bookmarkStart w:id="202" w:name="_Toc17073"/>
      <w:bookmarkStart w:id="203" w:name="_Toc16742"/>
      <w:bookmarkStart w:id="204" w:name="_Toc32210"/>
      <w:bookmarkStart w:id="205" w:name="_Toc23514"/>
      <w:bookmarkStart w:id="206" w:name="_Toc17289"/>
      <w:bookmarkStart w:id="207" w:name="_Toc1660"/>
      <w:r>
        <w:rPr>
          <w:rFonts w:hint="eastAsia" w:ascii="宋体" w:hAnsi="宋体" w:eastAsia="宋体" w:cs="Times New Roman"/>
          <w:color w:val="auto"/>
          <w:sz w:val="21"/>
          <w:szCs w:val="21"/>
          <w:highlight w:val="none"/>
        </w:rPr>
        <w:t>1.12响应和偏差</w:t>
      </w:r>
      <w:bookmarkEnd w:id="202"/>
      <w:bookmarkEnd w:id="203"/>
      <w:bookmarkEnd w:id="204"/>
      <w:bookmarkEnd w:id="205"/>
      <w:bookmarkEnd w:id="206"/>
      <w:bookmarkEnd w:id="207"/>
    </w:p>
    <w:p w14:paraId="364A883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1.12.1 竞包文件偏离发包文件某些要求，视为竞包文件存在偏差。偏差包括重大偏差和细微偏差。</w:t>
      </w:r>
    </w:p>
    <w:p w14:paraId="04C0F88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1.12.2 竞包文件应对发包文件的实质性要求和条件作出满足性或更有利于发包人的响应，否则，视为竞包文件存在重大偏差，竞包人的竞包将被否决。 </w:t>
      </w:r>
    </w:p>
    <w:p w14:paraId="3D99F0D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竞包文件存在第三章“评标办法”中所列任一否决竞包情形的，均属于存在重大偏差。</w:t>
      </w:r>
    </w:p>
    <w:p w14:paraId="3117267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1.12.3 竞包文件中的下列偏差为细微偏差： </w:t>
      </w:r>
    </w:p>
    <w:p w14:paraId="6B5E50E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（1）在按照第三章“评标办法”的规定对竞包价进行算术性错误修正后，最终竞包报价未超过最高竞包限价(如有)的情况下，出现第三章“评标办法”规定的竞包报价的算术性错误； </w:t>
      </w:r>
    </w:p>
    <w:p w14:paraId="0DA7A78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（2）技术建议书不够完善；</w:t>
      </w:r>
    </w:p>
    <w:p w14:paraId="33B1433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（3）竞包文件页码不连续、采用活页夹装订、个别文字有遗漏错误等不影响竞包文件实质性内容的偏差。</w:t>
      </w:r>
    </w:p>
    <w:p w14:paraId="3A073CF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1.12.4 评标委员会对竞包文件中的细微偏差按如下规定处理： </w:t>
      </w:r>
    </w:p>
    <w:p w14:paraId="296CB7B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（1）对于本章第1.12.3项（1）目所述的细微偏差，按照第三章“评标办法”的规定予以修正并要求竞包人进行澄清； </w:t>
      </w:r>
    </w:p>
    <w:p w14:paraId="7D6175F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（2）对于本章第1.12.3项（2）、（3）目所述的细微偏差，可在相关评分因素的评分中酌情扣分。</w:t>
      </w:r>
    </w:p>
    <w:p w14:paraId="24031C4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1.12.5 竞包人应根据发包文件的要求提供技术建议书等内容以对发包文件作出响应。</w:t>
      </w:r>
    </w:p>
    <w:p w14:paraId="7995A33F">
      <w:pPr>
        <w:pStyle w:val="62"/>
        <w:ind w:left="0" w:firstLine="0"/>
        <w:outlineLvl w:val="0"/>
        <w:rPr>
          <w:rFonts w:ascii="宋体" w:hAnsi="宋体" w:eastAsia="宋体" w:cs="Times New Roman"/>
          <w:color w:val="auto"/>
          <w:sz w:val="21"/>
          <w:szCs w:val="21"/>
          <w:highlight w:val="none"/>
        </w:rPr>
      </w:pPr>
      <w:bookmarkStart w:id="208" w:name="_Toc22286"/>
      <w:bookmarkStart w:id="209" w:name="_Toc4099"/>
      <w:bookmarkStart w:id="210" w:name="_Toc179632560"/>
      <w:bookmarkStart w:id="211" w:name="_Toc15286"/>
      <w:bookmarkStart w:id="212" w:name="_Toc152045542"/>
      <w:bookmarkStart w:id="213" w:name="_Toc25450"/>
      <w:bookmarkStart w:id="214" w:name="_Toc152042318"/>
      <w:bookmarkStart w:id="215" w:name="_Toc21674"/>
      <w:bookmarkStart w:id="216" w:name="_Toc18580"/>
      <w:bookmarkStart w:id="217" w:name="_Toc144974510"/>
      <w:r>
        <w:rPr>
          <w:rFonts w:hint="eastAsia" w:ascii="宋体" w:hAnsi="宋体" w:eastAsia="宋体" w:cs="Times New Roman"/>
          <w:color w:val="auto"/>
          <w:sz w:val="21"/>
          <w:szCs w:val="21"/>
          <w:highlight w:val="none"/>
        </w:rPr>
        <w:t>2. 发包文件</w:t>
      </w:r>
      <w:bookmarkEnd w:id="208"/>
      <w:bookmarkEnd w:id="209"/>
      <w:bookmarkEnd w:id="210"/>
      <w:bookmarkEnd w:id="211"/>
      <w:bookmarkEnd w:id="212"/>
      <w:bookmarkEnd w:id="213"/>
      <w:bookmarkEnd w:id="214"/>
      <w:bookmarkEnd w:id="215"/>
      <w:bookmarkEnd w:id="216"/>
      <w:bookmarkEnd w:id="217"/>
    </w:p>
    <w:p w14:paraId="41EA1BDA">
      <w:pPr>
        <w:pStyle w:val="68"/>
        <w:ind w:left="0" w:firstLine="0"/>
        <w:outlineLvl w:val="0"/>
        <w:rPr>
          <w:rFonts w:ascii="宋体" w:hAnsi="宋体" w:eastAsia="宋体" w:cs="Times New Roman"/>
          <w:color w:val="auto"/>
          <w:sz w:val="21"/>
          <w:szCs w:val="21"/>
          <w:highlight w:val="none"/>
        </w:rPr>
      </w:pPr>
      <w:bookmarkStart w:id="218" w:name="_Toc152045543"/>
      <w:bookmarkStart w:id="219" w:name="_Toc144974511"/>
      <w:bookmarkStart w:id="220" w:name="_Toc179632561"/>
      <w:bookmarkStart w:id="221" w:name="_Toc152042319"/>
      <w:bookmarkStart w:id="222" w:name="_Toc6523"/>
      <w:bookmarkStart w:id="223" w:name="_Toc31617"/>
      <w:bookmarkStart w:id="224" w:name="_Toc12169"/>
      <w:bookmarkStart w:id="225" w:name="_Toc12372"/>
      <w:bookmarkStart w:id="226" w:name="_Toc28080"/>
      <w:bookmarkStart w:id="227" w:name="_Toc25743"/>
      <w:r>
        <w:rPr>
          <w:rFonts w:hint="eastAsia" w:ascii="宋体" w:hAnsi="宋体" w:eastAsia="宋体" w:cs="Times New Roman"/>
          <w:color w:val="auto"/>
          <w:sz w:val="21"/>
          <w:szCs w:val="21"/>
          <w:highlight w:val="none"/>
        </w:rPr>
        <w:t>2.1 发包文件的</w:t>
      </w:r>
      <w:bookmarkEnd w:id="218"/>
      <w:bookmarkEnd w:id="219"/>
      <w:bookmarkEnd w:id="220"/>
      <w:bookmarkEnd w:id="221"/>
      <w:r>
        <w:rPr>
          <w:rFonts w:hint="eastAsia" w:ascii="宋体" w:hAnsi="宋体" w:eastAsia="宋体" w:cs="Times New Roman"/>
          <w:color w:val="auto"/>
          <w:sz w:val="21"/>
          <w:szCs w:val="21"/>
          <w:highlight w:val="none"/>
        </w:rPr>
        <w:t>组成</w:t>
      </w:r>
      <w:bookmarkEnd w:id="222"/>
      <w:bookmarkEnd w:id="223"/>
      <w:bookmarkEnd w:id="224"/>
      <w:bookmarkEnd w:id="225"/>
      <w:bookmarkEnd w:id="226"/>
      <w:bookmarkEnd w:id="227"/>
    </w:p>
    <w:p w14:paraId="215EC9B2">
      <w:pPr>
        <w:pStyle w:val="14"/>
        <w:spacing w:line="400" w:lineRule="exact"/>
        <w:rPr>
          <w:rFonts w:ascii="宋体" w:hAnsi="宋体"/>
          <w:color w:val="auto"/>
          <w:szCs w:val="21"/>
          <w:highlight w:val="none"/>
        </w:rPr>
      </w:pPr>
      <w:r>
        <w:rPr>
          <w:rFonts w:hint="eastAsia" w:ascii="宋体" w:hAnsi="宋体"/>
          <w:color w:val="auto"/>
          <w:szCs w:val="21"/>
          <w:highlight w:val="none"/>
        </w:rPr>
        <w:t>本发包文件包括：</w:t>
      </w:r>
    </w:p>
    <w:p w14:paraId="644466D2">
      <w:pPr>
        <w:pStyle w:val="14"/>
        <w:spacing w:line="400" w:lineRule="exact"/>
        <w:rPr>
          <w:rFonts w:ascii="宋体" w:hAnsi="宋体"/>
          <w:color w:val="auto"/>
          <w:szCs w:val="21"/>
          <w:highlight w:val="none"/>
        </w:rPr>
      </w:pPr>
      <w:r>
        <w:rPr>
          <w:rFonts w:hint="eastAsia" w:ascii="宋体" w:hAnsi="宋体"/>
          <w:color w:val="auto"/>
          <w:szCs w:val="21"/>
          <w:highlight w:val="none"/>
        </w:rPr>
        <w:t>（1）发包公告；</w:t>
      </w:r>
    </w:p>
    <w:p w14:paraId="1A4DE410">
      <w:pPr>
        <w:pStyle w:val="14"/>
        <w:spacing w:line="400" w:lineRule="exact"/>
        <w:rPr>
          <w:rFonts w:ascii="宋体" w:hAnsi="宋体"/>
          <w:color w:val="auto"/>
          <w:szCs w:val="21"/>
          <w:highlight w:val="none"/>
        </w:rPr>
      </w:pPr>
      <w:r>
        <w:rPr>
          <w:rFonts w:hint="eastAsia" w:ascii="宋体" w:hAnsi="宋体"/>
          <w:color w:val="auto"/>
          <w:szCs w:val="21"/>
          <w:highlight w:val="none"/>
        </w:rPr>
        <w:t>（2）竞包人须知；</w:t>
      </w:r>
    </w:p>
    <w:p w14:paraId="227B5015">
      <w:pPr>
        <w:pStyle w:val="14"/>
        <w:spacing w:line="400" w:lineRule="exact"/>
        <w:rPr>
          <w:rFonts w:ascii="宋体" w:hAnsi="宋体"/>
          <w:color w:val="auto"/>
          <w:szCs w:val="21"/>
          <w:highlight w:val="none"/>
        </w:rPr>
      </w:pPr>
      <w:r>
        <w:rPr>
          <w:rFonts w:hint="eastAsia" w:ascii="宋体" w:hAnsi="宋体"/>
          <w:color w:val="auto"/>
          <w:szCs w:val="21"/>
          <w:highlight w:val="none"/>
        </w:rPr>
        <w:t>（3）评标办法；</w:t>
      </w:r>
    </w:p>
    <w:p w14:paraId="302FC944">
      <w:pPr>
        <w:pStyle w:val="14"/>
        <w:spacing w:line="400" w:lineRule="exact"/>
        <w:rPr>
          <w:rFonts w:ascii="宋体" w:hAnsi="宋体"/>
          <w:color w:val="auto"/>
          <w:szCs w:val="21"/>
          <w:highlight w:val="none"/>
        </w:rPr>
      </w:pPr>
      <w:r>
        <w:rPr>
          <w:rFonts w:hint="eastAsia" w:ascii="宋体" w:hAnsi="宋体"/>
          <w:color w:val="auto"/>
          <w:szCs w:val="21"/>
          <w:highlight w:val="none"/>
        </w:rPr>
        <w:t>（4）合同条款及格式；</w:t>
      </w:r>
    </w:p>
    <w:p w14:paraId="4C6ED7A2">
      <w:pPr>
        <w:pStyle w:val="14"/>
        <w:spacing w:line="400" w:lineRule="exact"/>
        <w:rPr>
          <w:rFonts w:ascii="宋体" w:hAnsi="宋体"/>
          <w:color w:val="auto"/>
          <w:szCs w:val="21"/>
          <w:highlight w:val="none"/>
        </w:rPr>
      </w:pPr>
      <w:r>
        <w:rPr>
          <w:rFonts w:hint="eastAsia" w:ascii="宋体" w:hAnsi="宋体"/>
          <w:color w:val="auto"/>
          <w:szCs w:val="21"/>
          <w:highlight w:val="none"/>
        </w:rPr>
        <w:t>（5）发包人要求；</w:t>
      </w:r>
    </w:p>
    <w:p w14:paraId="508F1E7D">
      <w:pPr>
        <w:pStyle w:val="14"/>
        <w:spacing w:line="400" w:lineRule="exact"/>
        <w:rPr>
          <w:rFonts w:ascii="宋体" w:hAnsi="宋体"/>
          <w:color w:val="auto"/>
          <w:szCs w:val="21"/>
          <w:highlight w:val="none"/>
        </w:rPr>
      </w:pPr>
      <w:r>
        <w:rPr>
          <w:rFonts w:hint="eastAsia" w:ascii="宋体" w:hAnsi="宋体"/>
          <w:color w:val="auto"/>
          <w:szCs w:val="21"/>
          <w:highlight w:val="none"/>
        </w:rPr>
        <w:t>（6）竞包文件格式；</w:t>
      </w:r>
    </w:p>
    <w:p w14:paraId="529AFDED">
      <w:pPr>
        <w:pStyle w:val="14"/>
        <w:spacing w:line="400" w:lineRule="exact"/>
        <w:rPr>
          <w:rFonts w:ascii="宋体" w:hAnsi="宋体"/>
          <w:color w:val="auto"/>
          <w:szCs w:val="21"/>
          <w:highlight w:val="none"/>
        </w:rPr>
      </w:pPr>
      <w:r>
        <w:rPr>
          <w:rFonts w:hint="eastAsia" w:ascii="宋体" w:hAnsi="宋体"/>
          <w:color w:val="auto"/>
          <w:szCs w:val="21"/>
          <w:highlight w:val="none"/>
        </w:rPr>
        <w:t>（7）竞包人须知前附表规定的其他材料。</w:t>
      </w:r>
    </w:p>
    <w:p w14:paraId="7FEA019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根据本章第1.10款、第2.2款和第2.3款对发包文件所作的澄清、修改，构成发包文件的组成部分。</w:t>
      </w:r>
    </w:p>
    <w:p w14:paraId="1CE182A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当发包文件、发包文件的澄清或修改等在同一内容的表述上不一致时，以最后发出的书面文件为准。</w:t>
      </w:r>
    </w:p>
    <w:p w14:paraId="7F82E527">
      <w:pPr>
        <w:pStyle w:val="68"/>
        <w:ind w:left="0" w:firstLine="0"/>
        <w:outlineLvl w:val="0"/>
        <w:rPr>
          <w:rFonts w:ascii="宋体" w:hAnsi="宋体" w:eastAsia="宋体" w:cs="Times New Roman"/>
          <w:color w:val="auto"/>
          <w:sz w:val="21"/>
          <w:szCs w:val="21"/>
          <w:highlight w:val="none"/>
        </w:rPr>
      </w:pPr>
      <w:bookmarkStart w:id="228" w:name="_Toc29600"/>
      <w:bookmarkStart w:id="229" w:name="_Toc11095"/>
      <w:bookmarkStart w:id="230" w:name="_Toc24542"/>
      <w:bookmarkStart w:id="231" w:name="_Toc179632562"/>
      <w:bookmarkStart w:id="232" w:name="_Toc782"/>
      <w:bookmarkStart w:id="233" w:name="_Toc144974512"/>
      <w:bookmarkStart w:id="234" w:name="_Toc152045544"/>
      <w:bookmarkStart w:id="235" w:name="_Toc152042320"/>
      <w:bookmarkStart w:id="236" w:name="_Toc22857"/>
      <w:bookmarkStart w:id="237" w:name="_Toc23555"/>
      <w:r>
        <w:rPr>
          <w:rFonts w:hint="eastAsia" w:ascii="宋体" w:hAnsi="宋体" w:eastAsia="宋体" w:cs="Times New Roman"/>
          <w:color w:val="auto"/>
          <w:sz w:val="21"/>
          <w:szCs w:val="21"/>
          <w:highlight w:val="none"/>
        </w:rPr>
        <w:t>2.2 发包文件的澄清</w:t>
      </w:r>
      <w:bookmarkEnd w:id="228"/>
      <w:bookmarkEnd w:id="229"/>
      <w:bookmarkEnd w:id="230"/>
      <w:bookmarkEnd w:id="231"/>
      <w:bookmarkEnd w:id="232"/>
      <w:bookmarkEnd w:id="233"/>
      <w:bookmarkEnd w:id="234"/>
      <w:bookmarkEnd w:id="235"/>
      <w:bookmarkEnd w:id="236"/>
      <w:bookmarkEnd w:id="237"/>
    </w:p>
    <w:p w14:paraId="52AE6CA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2.2.1 竞包人应仔细阅读和检查发包文件的全部内容。如发现缺页或附件不全，应及时向发包人提出，以便补齐。如有疑问，应按竞包人须知前附表规定的时间和形式将提出的问题送达发包人，要求发包人对发包文件予以澄清。</w:t>
      </w:r>
    </w:p>
    <w:p w14:paraId="2EFC2FA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2.2.2 发包文件的澄清以电子文件形式上传至“交易平台”供竞包人下载，但不指明澄清问题的来源。</w:t>
      </w:r>
    </w:p>
    <w:p w14:paraId="6DED8CB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2.2.3 竞包人在收到澄清后无需向发包人确认。潜在竞包人应自行关注“交易平台”，发包人不再一一通知。因竞包人自身原因未及时获知澄清内容而导致的任何后果将由竞包人自行承担。</w:t>
      </w:r>
    </w:p>
    <w:p w14:paraId="6BD0CC5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2.2.4 除非发包人认为确有必要答复，否则，发包人有权拒绝回复竞包人在本章第2.2.1项规定的时间后提出的任何澄清要求。</w:t>
      </w:r>
    </w:p>
    <w:p w14:paraId="03E26906">
      <w:pPr>
        <w:pStyle w:val="68"/>
        <w:ind w:left="0" w:firstLine="0"/>
        <w:outlineLvl w:val="0"/>
        <w:rPr>
          <w:rFonts w:ascii="宋体" w:hAnsi="宋体" w:eastAsia="宋体" w:cs="Times New Roman"/>
          <w:color w:val="auto"/>
          <w:sz w:val="21"/>
          <w:szCs w:val="21"/>
          <w:highlight w:val="none"/>
        </w:rPr>
      </w:pPr>
      <w:bookmarkStart w:id="238" w:name="_Toc179632563"/>
      <w:bookmarkStart w:id="239" w:name="_Toc14782"/>
      <w:bookmarkStart w:id="240" w:name="_Toc19046"/>
      <w:bookmarkStart w:id="241" w:name="_Toc152042321"/>
      <w:bookmarkStart w:id="242" w:name="_Toc144974513"/>
      <w:bookmarkStart w:id="243" w:name="_Toc14408"/>
      <w:bookmarkStart w:id="244" w:name="_Toc30680"/>
      <w:bookmarkStart w:id="245" w:name="_Toc3031"/>
      <w:bookmarkStart w:id="246" w:name="_Toc14589"/>
      <w:bookmarkStart w:id="247" w:name="_Toc152045545"/>
      <w:r>
        <w:rPr>
          <w:rFonts w:hint="eastAsia" w:ascii="宋体" w:hAnsi="宋体" w:eastAsia="宋体" w:cs="Times New Roman"/>
          <w:color w:val="auto"/>
          <w:sz w:val="21"/>
          <w:szCs w:val="21"/>
          <w:highlight w:val="none"/>
        </w:rPr>
        <w:t>2.3 发包文件的修改</w:t>
      </w:r>
      <w:bookmarkEnd w:id="238"/>
      <w:bookmarkEnd w:id="239"/>
      <w:bookmarkEnd w:id="240"/>
      <w:bookmarkEnd w:id="241"/>
      <w:bookmarkEnd w:id="242"/>
      <w:bookmarkEnd w:id="243"/>
      <w:bookmarkEnd w:id="244"/>
      <w:bookmarkEnd w:id="245"/>
      <w:bookmarkEnd w:id="246"/>
      <w:bookmarkEnd w:id="247"/>
    </w:p>
    <w:p w14:paraId="042620A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2.3.1 发包人可以修改发包文件，以电子文件形式上传“交易平台”供潜在竞包人自行下载。</w:t>
      </w:r>
    </w:p>
    <w:p w14:paraId="0CBBA66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2.3.2 竞包人在收到修改内容后无需向发包人确认。潜在竞包人应自行关注“交易平台”，发包人不再一一通知。因竞包人自身原因未及时获知修改内容而导致的任何后果将由竞包人自行承担。</w:t>
      </w:r>
    </w:p>
    <w:p w14:paraId="0DEB5996">
      <w:pPr>
        <w:pStyle w:val="68"/>
        <w:ind w:left="0" w:firstLine="0"/>
        <w:outlineLvl w:val="0"/>
        <w:rPr>
          <w:rFonts w:ascii="宋体" w:hAnsi="宋体" w:eastAsia="宋体" w:cs="Times New Roman"/>
          <w:color w:val="auto"/>
          <w:sz w:val="21"/>
          <w:szCs w:val="21"/>
          <w:highlight w:val="none"/>
        </w:rPr>
      </w:pPr>
      <w:bookmarkStart w:id="248" w:name="_Toc19052"/>
      <w:bookmarkStart w:id="249" w:name="_Toc23930"/>
      <w:bookmarkStart w:id="250" w:name="_Toc14401"/>
      <w:bookmarkStart w:id="251" w:name="_Toc19946"/>
      <w:bookmarkStart w:id="252" w:name="_Toc12433"/>
      <w:bookmarkStart w:id="253" w:name="_Toc13331"/>
      <w:r>
        <w:rPr>
          <w:rFonts w:hint="eastAsia" w:ascii="宋体" w:hAnsi="宋体" w:eastAsia="宋体" w:cs="Times New Roman"/>
          <w:color w:val="auto"/>
          <w:sz w:val="21"/>
          <w:szCs w:val="21"/>
          <w:highlight w:val="none"/>
        </w:rPr>
        <w:t>2.4 发包文件的异议</w:t>
      </w:r>
      <w:bookmarkEnd w:id="248"/>
      <w:bookmarkEnd w:id="249"/>
      <w:bookmarkEnd w:id="250"/>
      <w:bookmarkEnd w:id="251"/>
      <w:bookmarkEnd w:id="252"/>
      <w:bookmarkEnd w:id="253"/>
    </w:p>
    <w:p w14:paraId="28AD82B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竞包人或其他利害关系人对发包文件有异议的，应在竞包截止时间10日前以书面形式提出。发包人将在收到异议之日起3日内作出答复；作出答复前，将暂停发包竞包活动。</w:t>
      </w:r>
    </w:p>
    <w:p w14:paraId="6B55ABC1">
      <w:pPr>
        <w:pStyle w:val="62"/>
        <w:ind w:left="0" w:firstLine="0"/>
        <w:outlineLvl w:val="0"/>
        <w:rPr>
          <w:rFonts w:ascii="宋体" w:hAnsi="宋体" w:eastAsia="宋体" w:cs="Times New Roman"/>
          <w:color w:val="auto"/>
          <w:sz w:val="21"/>
          <w:szCs w:val="21"/>
          <w:highlight w:val="none"/>
        </w:rPr>
      </w:pPr>
      <w:bookmarkStart w:id="254" w:name="_Toc11727"/>
      <w:bookmarkStart w:id="255" w:name="_Toc179632564"/>
      <w:bookmarkStart w:id="256" w:name="_Toc4980"/>
      <w:bookmarkStart w:id="257" w:name="_Toc152042322"/>
      <w:bookmarkStart w:id="258" w:name="_Toc152045546"/>
      <w:bookmarkStart w:id="259" w:name="_Toc12756"/>
      <w:bookmarkStart w:id="260" w:name="_Toc144974514"/>
      <w:bookmarkStart w:id="261" w:name="_Toc5952"/>
      <w:bookmarkStart w:id="262" w:name="_Toc15792"/>
      <w:bookmarkStart w:id="263" w:name="_Toc7713"/>
      <w:r>
        <w:rPr>
          <w:rFonts w:hint="eastAsia" w:ascii="宋体" w:hAnsi="宋体" w:eastAsia="宋体" w:cs="Times New Roman"/>
          <w:color w:val="auto"/>
          <w:sz w:val="21"/>
          <w:szCs w:val="21"/>
          <w:highlight w:val="none"/>
        </w:rPr>
        <w:t>3. 竞包文件</w:t>
      </w:r>
      <w:bookmarkEnd w:id="254"/>
      <w:bookmarkEnd w:id="255"/>
      <w:bookmarkEnd w:id="256"/>
      <w:bookmarkEnd w:id="257"/>
      <w:bookmarkEnd w:id="258"/>
      <w:bookmarkEnd w:id="259"/>
      <w:bookmarkEnd w:id="260"/>
      <w:bookmarkEnd w:id="261"/>
      <w:bookmarkEnd w:id="262"/>
      <w:bookmarkEnd w:id="263"/>
    </w:p>
    <w:p w14:paraId="62CC1584">
      <w:pPr>
        <w:pStyle w:val="68"/>
        <w:ind w:left="0" w:firstLine="0"/>
        <w:outlineLvl w:val="0"/>
        <w:rPr>
          <w:rFonts w:ascii="宋体" w:hAnsi="宋体" w:eastAsia="宋体" w:cs="Times New Roman"/>
          <w:color w:val="auto"/>
          <w:sz w:val="21"/>
          <w:szCs w:val="21"/>
          <w:highlight w:val="none"/>
        </w:rPr>
      </w:pPr>
      <w:bookmarkStart w:id="264" w:name="_Toc152042323"/>
      <w:bookmarkStart w:id="265" w:name="_Toc9104"/>
      <w:bookmarkStart w:id="266" w:name="_Toc28976"/>
      <w:bookmarkStart w:id="267" w:name="_Toc152045547"/>
      <w:bookmarkStart w:id="268" w:name="_Toc144974515"/>
      <w:bookmarkStart w:id="269" w:name="_Toc179632565"/>
      <w:bookmarkStart w:id="270" w:name="_Toc32278"/>
      <w:bookmarkStart w:id="271" w:name="_Toc23498"/>
      <w:bookmarkStart w:id="272" w:name="_Toc1213"/>
      <w:bookmarkStart w:id="273" w:name="_Toc23663"/>
      <w:r>
        <w:rPr>
          <w:rFonts w:hint="eastAsia" w:ascii="宋体" w:hAnsi="宋体" w:eastAsia="宋体" w:cs="Times New Roman"/>
          <w:color w:val="auto"/>
          <w:sz w:val="21"/>
          <w:szCs w:val="21"/>
          <w:highlight w:val="none"/>
        </w:rPr>
        <w:t>3.1 竞包文件的组成</w:t>
      </w:r>
      <w:bookmarkEnd w:id="264"/>
      <w:bookmarkEnd w:id="265"/>
      <w:bookmarkEnd w:id="266"/>
      <w:bookmarkEnd w:id="267"/>
      <w:bookmarkEnd w:id="268"/>
      <w:bookmarkEnd w:id="269"/>
      <w:bookmarkEnd w:id="270"/>
      <w:bookmarkEnd w:id="271"/>
      <w:bookmarkEnd w:id="272"/>
      <w:bookmarkEnd w:id="273"/>
    </w:p>
    <w:p w14:paraId="58072F7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3.1.1 竞包文件应采用双信封形式，包括下列内容：</w:t>
      </w:r>
    </w:p>
    <w:p w14:paraId="0A54056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第一个信封（商务及技术文件）</w:t>
      </w:r>
    </w:p>
    <w:p w14:paraId="10B4682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（1）竞包函；</w:t>
      </w:r>
    </w:p>
    <w:p w14:paraId="56EDCC0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（2）授权委托书或法定代表人身份证明；</w:t>
      </w:r>
    </w:p>
    <w:p w14:paraId="040336D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（3）联合体协议书；</w:t>
      </w:r>
    </w:p>
    <w:p w14:paraId="6EDA116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（4）竞包保证金；</w:t>
      </w:r>
    </w:p>
    <w:p w14:paraId="5B11B81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（5）拟分包项目情况表；</w:t>
      </w:r>
    </w:p>
    <w:p w14:paraId="1267693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（6）资格审查表；</w:t>
      </w:r>
    </w:p>
    <w:p w14:paraId="51FCAF8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（7）技术建议书；</w:t>
      </w:r>
    </w:p>
    <w:p w14:paraId="064F785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（8）承诺函；</w:t>
      </w:r>
    </w:p>
    <w:p w14:paraId="546F7CC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（9）竞包人须知前附表规定的其他材料。</w:t>
      </w:r>
    </w:p>
    <w:p w14:paraId="7094BA6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第二个信封（报价文件）</w:t>
      </w:r>
    </w:p>
    <w:p w14:paraId="36A66F9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（1）竞包函；</w:t>
      </w:r>
    </w:p>
    <w:p w14:paraId="2EBD35E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（2）设计费用清单。</w:t>
      </w:r>
    </w:p>
    <w:p w14:paraId="50BD16E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竞包人在评标过程中作出的符合法律法规和发包文件规定的澄清确认，构成竞包文件的组成部分。</w:t>
      </w:r>
    </w:p>
    <w:p w14:paraId="7365D70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3.1.2 竞包人须知前附表规定不接受联合体竞包的，或竞包人没有组成联合体的，竞包文件不包括本章第3.1.1（3）目所指的联合体协议书。</w:t>
      </w:r>
    </w:p>
    <w:p w14:paraId="671ABE7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3.1.3 标人须知前附表未要求提交竞包保证金的，竞包文件不包括本章第3.1.1（4）目所指的竞包保证金。</w:t>
      </w:r>
    </w:p>
    <w:p w14:paraId="651EFE05">
      <w:pPr>
        <w:pStyle w:val="68"/>
        <w:ind w:left="0" w:firstLine="0"/>
        <w:outlineLvl w:val="0"/>
        <w:rPr>
          <w:rFonts w:ascii="宋体" w:hAnsi="宋体" w:eastAsia="宋体" w:cs="Times New Roman"/>
          <w:color w:val="auto"/>
          <w:sz w:val="21"/>
          <w:szCs w:val="21"/>
          <w:highlight w:val="none"/>
        </w:rPr>
      </w:pPr>
      <w:bookmarkStart w:id="274" w:name="_Toc10071"/>
      <w:bookmarkStart w:id="275" w:name="_Toc23239"/>
      <w:bookmarkStart w:id="276" w:name="_Toc28841"/>
      <w:bookmarkStart w:id="277" w:name="_Toc152042324"/>
      <w:bookmarkStart w:id="278" w:name="_Toc179632566"/>
      <w:bookmarkStart w:id="279" w:name="_Toc4999"/>
      <w:bookmarkStart w:id="280" w:name="_Toc941"/>
      <w:bookmarkStart w:id="281" w:name="_Toc152045548"/>
      <w:bookmarkStart w:id="282" w:name="_Toc144974516"/>
      <w:bookmarkStart w:id="283" w:name="_Toc3665"/>
      <w:r>
        <w:rPr>
          <w:rFonts w:hint="eastAsia" w:ascii="宋体" w:hAnsi="宋体" w:eastAsia="宋体" w:cs="Times New Roman"/>
          <w:color w:val="auto"/>
          <w:sz w:val="21"/>
          <w:szCs w:val="21"/>
          <w:highlight w:val="none"/>
        </w:rPr>
        <w:t>3.2 竞包报价</w:t>
      </w:r>
      <w:bookmarkEnd w:id="274"/>
      <w:bookmarkEnd w:id="275"/>
      <w:bookmarkEnd w:id="276"/>
      <w:bookmarkEnd w:id="277"/>
      <w:bookmarkEnd w:id="278"/>
      <w:bookmarkEnd w:id="279"/>
      <w:bookmarkEnd w:id="280"/>
      <w:bookmarkEnd w:id="281"/>
      <w:bookmarkEnd w:id="282"/>
      <w:bookmarkEnd w:id="283"/>
    </w:p>
    <w:p w14:paraId="0A2316F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3.2.1 竞包报价应包括国家规定的增值税税金，除竞包人须知前附表另有规定外，增值税税金按一般计税方法计算。竞包人应按第六章“竞包文件格式”的要求在竞包函中进行报价并填写设计费用清单相应表格。 </w:t>
      </w:r>
    </w:p>
    <w:p w14:paraId="0082A88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3.2.2 竞包人应充分了解本项目的总体情况以及影响竞包报价的其他要素，按照发包文件规定的设计工作内容和计划工作量，自行测算设计费用。 </w:t>
      </w:r>
    </w:p>
    <w:p w14:paraId="5802C48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3.2.3 本项目的报价方式见竞包人须知前附表。竞包人在竞包截止时间前修改竞包函中的竞包报价总额，应同时修改竞包文件“设计费用清单”中的相应报价。此修改须符合本章第4.3款的有关要求。 </w:t>
      </w:r>
    </w:p>
    <w:p w14:paraId="5E80BAD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3.2.4 发包人设有最高竞包限价的，竞包人的竞包报价不得超过最高竞包限价，最高竞包限价在竞包人须知前附表中载明。</w:t>
      </w:r>
    </w:p>
    <w:p w14:paraId="15B994E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3.2.5 竞包报价的其他要求见竞包人须知前附表。</w:t>
      </w:r>
    </w:p>
    <w:p w14:paraId="015E4DDF">
      <w:pPr>
        <w:pStyle w:val="68"/>
        <w:ind w:left="0" w:firstLine="0"/>
        <w:outlineLvl w:val="0"/>
        <w:rPr>
          <w:rFonts w:ascii="宋体" w:hAnsi="宋体" w:eastAsia="宋体" w:cs="Times New Roman"/>
          <w:color w:val="auto"/>
          <w:sz w:val="21"/>
          <w:szCs w:val="21"/>
          <w:highlight w:val="none"/>
        </w:rPr>
      </w:pPr>
      <w:bookmarkStart w:id="284" w:name="_Toc13257"/>
      <w:bookmarkStart w:id="285" w:name="_Toc8711"/>
      <w:bookmarkStart w:id="286" w:name="_Toc18607"/>
      <w:bookmarkStart w:id="287" w:name="_Toc13967"/>
      <w:bookmarkStart w:id="288" w:name="_Toc4443"/>
      <w:bookmarkStart w:id="289" w:name="_Toc13313"/>
      <w:r>
        <w:rPr>
          <w:rFonts w:hint="eastAsia" w:ascii="宋体" w:hAnsi="宋体" w:eastAsia="宋体" w:cs="Times New Roman"/>
          <w:color w:val="auto"/>
          <w:sz w:val="21"/>
          <w:szCs w:val="21"/>
          <w:highlight w:val="none"/>
        </w:rPr>
        <w:t>3.3 竞包有效期</w:t>
      </w:r>
      <w:bookmarkEnd w:id="284"/>
      <w:bookmarkEnd w:id="285"/>
      <w:bookmarkEnd w:id="286"/>
      <w:bookmarkEnd w:id="287"/>
      <w:bookmarkEnd w:id="288"/>
      <w:bookmarkEnd w:id="289"/>
      <w:r>
        <w:rPr>
          <w:rFonts w:hint="eastAsia" w:ascii="宋体" w:hAnsi="宋体" w:eastAsia="宋体" w:cs="Times New Roman"/>
          <w:color w:val="auto"/>
          <w:sz w:val="21"/>
          <w:szCs w:val="21"/>
          <w:highlight w:val="none"/>
        </w:rPr>
        <w:t xml:space="preserve"> </w:t>
      </w:r>
    </w:p>
    <w:p w14:paraId="716D765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3.3.1 除竞包人须知前附表另有规定外，竞包有效期为90日。 </w:t>
      </w:r>
    </w:p>
    <w:p w14:paraId="69FD12E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3.3.2 在竞包有效期内，竞包人撤销竞包文件的，应承担发包文件和法律规定的责任。</w:t>
      </w:r>
    </w:p>
    <w:p w14:paraId="7C0B89F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3.3.3 出现特殊情况需要延长竞包有效期的，发包人以书面形式通知所有竞包人延长竞包有效期。竞包人应予以书面答复，同意延长的，应相应延长其竞包保证金的有效期，但不得要求或被允许修改或撤销其竞包文件；竞包人拒绝延长的，其竞包失效，但竞包人有权收回其竞包保证金及以现金或支票形式递交的竞包保证金的银行同期活期存款利息。</w:t>
      </w:r>
    </w:p>
    <w:p w14:paraId="195644AA">
      <w:pPr>
        <w:pStyle w:val="68"/>
        <w:ind w:left="0" w:firstLine="0"/>
        <w:outlineLvl w:val="0"/>
        <w:rPr>
          <w:rFonts w:ascii="宋体" w:hAnsi="宋体" w:eastAsia="宋体" w:cs="Times New Roman"/>
          <w:color w:val="auto"/>
          <w:sz w:val="21"/>
          <w:szCs w:val="21"/>
          <w:highlight w:val="none"/>
        </w:rPr>
      </w:pPr>
      <w:bookmarkStart w:id="290" w:name="_Toc9498"/>
      <w:bookmarkStart w:id="291" w:name="_Toc24484"/>
      <w:bookmarkStart w:id="292" w:name="_Toc26283"/>
      <w:bookmarkStart w:id="293" w:name="_Toc19761"/>
      <w:bookmarkStart w:id="294" w:name="_Toc16718"/>
      <w:bookmarkStart w:id="295" w:name="_Toc17308"/>
      <w:r>
        <w:rPr>
          <w:rFonts w:hint="eastAsia" w:ascii="宋体" w:hAnsi="宋体" w:eastAsia="宋体" w:cs="Times New Roman"/>
          <w:color w:val="auto"/>
          <w:sz w:val="21"/>
          <w:szCs w:val="21"/>
          <w:highlight w:val="none"/>
        </w:rPr>
        <w:t>3.4 竞包保证金</w:t>
      </w:r>
      <w:bookmarkEnd w:id="290"/>
      <w:bookmarkEnd w:id="291"/>
      <w:bookmarkEnd w:id="292"/>
      <w:bookmarkEnd w:id="293"/>
      <w:bookmarkEnd w:id="294"/>
      <w:bookmarkEnd w:id="295"/>
      <w:r>
        <w:rPr>
          <w:rFonts w:hint="eastAsia" w:ascii="宋体" w:hAnsi="宋体" w:eastAsia="宋体" w:cs="Times New Roman"/>
          <w:color w:val="auto"/>
          <w:sz w:val="21"/>
          <w:szCs w:val="21"/>
          <w:highlight w:val="none"/>
        </w:rPr>
        <w:t xml:space="preserve"> </w:t>
      </w:r>
    </w:p>
    <w:p w14:paraId="5F53BFA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3.4.1 竞包人在递交竞包文件的同时，应按竞包人须知前附表规定的金额和第六章“竞包文件格式”规定的竞包保证金格式递交竞包保证金，并作为其竞包文件的组成部分。联合体竞包的，其竞包保证金由牵头人递交，并应符合竞包人须知前附表的规定。 </w:t>
      </w:r>
    </w:p>
    <w:p w14:paraId="32B15D0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竞包保证金应采用现金、支票、银行保函或发包人在竞包人须知前附表规定的其他形式。</w:t>
      </w:r>
    </w:p>
    <w:p w14:paraId="532146C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（1）若采用现金或支票，竞包人应在递交竞包文件截止时间之前，将竞包保证金由竞包人的基本账户转入发包人指定账户，否则视为竞包保证金无效。发包人指定的开户银行及账号见竞包人须知前附表。 </w:t>
      </w:r>
    </w:p>
    <w:p w14:paraId="2AB0F2C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（2）若采用银行保函，则应由符合竞包人须知前附表规定级别的银行开具，并采用发包文件提供的格式。银行保函复印件装订在竞包文件内，原件应在递交竞包文件截止时间之前单独密封递交给发包人。</w:t>
      </w:r>
    </w:p>
    <w:p w14:paraId="5198A29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无论采取何种形式的竞包保证金，竞包保证金有效期均应与竞包有效期一致。发包人如果按本章第3.3.3项的规定延长了竞包有效期，则竞包保证金的有效期也相应延长。</w:t>
      </w:r>
    </w:p>
    <w:p w14:paraId="491BB72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3.4.2 竞包人不按本章第3.4.1项要求提交竞包保证金的，评标委员会将否决其竞包。 </w:t>
      </w:r>
    </w:p>
    <w:p w14:paraId="63C3B3D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3.4.3 发包人最迟将在中包通知书发出后5日内向中包候选人以外的其他竞包人退还竞包保证金，与中包人签订合同后5日内向中包人和其他中包候选人退还竞包保证金。竞包保证金以现金或支票形式递交的，发包人应同时退还竞包保证金的银行同期活期存款利息，且退还至竞包人的基本账户。</w:t>
      </w:r>
    </w:p>
    <w:p w14:paraId="4F6EF27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利息计算原则见竞包人须知前附表。</w:t>
      </w:r>
    </w:p>
    <w:p w14:paraId="01297D4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3.4.4 有下列情形之一的，竞包保证金将不予退还： </w:t>
      </w:r>
    </w:p>
    <w:p w14:paraId="5C72D32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（1）竞包人在竞包有效期内撤销竞包文件； </w:t>
      </w:r>
    </w:p>
    <w:p w14:paraId="6B80853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（2）中包人在收到中包通知书后，无正当理由不与发包人订立合同，在签到合同时向发包人提出附加条件，或不按照发包文件要求提交履约保证金； </w:t>
      </w:r>
    </w:p>
    <w:p w14:paraId="3BE1554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（3）发生竞包人须知前附表规定的其他可以不予退还竞包保证金的情形。</w:t>
      </w:r>
    </w:p>
    <w:p w14:paraId="7775CA26">
      <w:pPr>
        <w:pStyle w:val="68"/>
        <w:ind w:left="0" w:firstLine="0"/>
        <w:outlineLvl w:val="0"/>
        <w:rPr>
          <w:rFonts w:ascii="宋体" w:hAnsi="宋体" w:eastAsia="宋体" w:cs="Times New Roman"/>
          <w:color w:val="auto"/>
          <w:sz w:val="21"/>
          <w:szCs w:val="21"/>
          <w:highlight w:val="none"/>
        </w:rPr>
      </w:pPr>
      <w:bookmarkStart w:id="296" w:name="_Toc4432"/>
      <w:bookmarkStart w:id="297" w:name="_Toc29274"/>
      <w:bookmarkStart w:id="298" w:name="_Toc4702"/>
      <w:bookmarkStart w:id="299" w:name="_Toc2770"/>
      <w:bookmarkStart w:id="300" w:name="_Toc13603"/>
      <w:bookmarkStart w:id="301" w:name="_Toc19645"/>
      <w:r>
        <w:rPr>
          <w:rFonts w:hint="eastAsia" w:ascii="宋体" w:hAnsi="宋体" w:eastAsia="宋体" w:cs="Times New Roman"/>
          <w:color w:val="auto"/>
          <w:sz w:val="21"/>
          <w:szCs w:val="21"/>
          <w:highlight w:val="none"/>
        </w:rPr>
        <w:t>3.5 资格审查资料</w:t>
      </w:r>
      <w:bookmarkEnd w:id="296"/>
      <w:bookmarkEnd w:id="297"/>
      <w:bookmarkEnd w:id="298"/>
      <w:bookmarkEnd w:id="299"/>
      <w:bookmarkEnd w:id="300"/>
      <w:bookmarkEnd w:id="301"/>
      <w:r>
        <w:rPr>
          <w:rFonts w:hint="eastAsia" w:ascii="宋体" w:hAnsi="宋体" w:eastAsia="宋体" w:cs="Times New Roman"/>
          <w:color w:val="auto"/>
          <w:sz w:val="21"/>
          <w:szCs w:val="21"/>
          <w:highlight w:val="none"/>
        </w:rPr>
        <w:t xml:space="preserve"> </w:t>
      </w:r>
    </w:p>
    <w:p w14:paraId="6A7016B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除竞包人须知前附表另有规定外，竞包人应按下列规定提供资格审查资料，以证明其满足本章第1.4款规定的资质、业绩、信誉等要求。</w:t>
      </w:r>
    </w:p>
    <w:p w14:paraId="3999420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3.5.1 “竞包人基本情况表”应附资料见竞包人须知前附表。</w:t>
      </w:r>
    </w:p>
    <w:p w14:paraId="6214CFB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3.5.2 “近年完成的类似项目情况表”具体年份及应附资料见竞包人须知前附表。</w:t>
      </w:r>
    </w:p>
    <w:p w14:paraId="2BE92A9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每张表格只填写一个项目，并标明序号。</w:t>
      </w:r>
    </w:p>
    <w:p w14:paraId="6B931CD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3.5.3 “竞包人的信誉情况表”应附资料见竞包人须知前附表。</w:t>
      </w:r>
    </w:p>
    <w:p w14:paraId="4D8031E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3.5.4 “拟委任的项目负责人资历表”应附资料及要求见竞包人须知前附表。</w:t>
      </w:r>
    </w:p>
    <w:p w14:paraId="3741485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3.5.5 “拟委任的分项负责人汇总表”（如有）应填报满足竞包人须知前附表附录5规定的各专业分项负责人的相关信息，应附资料及要求见竞包人须知前附表。</w:t>
      </w:r>
    </w:p>
    <w:p w14:paraId="6ADDB04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3.5.6 竞包人须知前附表规定接受联合体竞包的，本章第3.5.1项至第3.5.5项规定的表格和资料应包括联合体各方相关情况。</w:t>
      </w:r>
    </w:p>
    <w:p w14:paraId="0058B29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3.5.7 除合同条款约定的特殊情形外，竞包人在竞包文件中填报的项目负责人不允许更换。</w:t>
      </w:r>
    </w:p>
    <w:p w14:paraId="703B3C8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3.5.8 竞包人在竞包文件中填报的资质、业绩、主要人员资历和目前在岗情况、信用等级等信息，应与其在“浙江省交通运输信用管理与服务系统”上填报并发布的相关信息一致。竞包人应根据本单位实际情况及时完成相关信息的申报、录入和动态更新，并对相关信息的真实性、完整性和准确性负责。</w:t>
      </w:r>
    </w:p>
    <w:p w14:paraId="079FAD3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3.5.9 发包人有权核查竞包人在竞包文件中提供的资料，若在评标期间评标委员会发现竞包人提供了虚假资料，其竞包将被否决；若在签订合同前发现作为中包候选人的竞包人提供了虚假资料，发包人有权取消其中包资格；若在合同实施期间发现竞包人提供了虚假资料，发包人有权从合同价款或履约保证金中扣除不超过2%签约合同价的金额作为违约金。同时发包人将竞包人以上弄虚作假行为上报省级交通运输主管部门，作为不良记录纳入“浙江省交通运输信用管理与服务系统”。</w:t>
      </w:r>
    </w:p>
    <w:p w14:paraId="109A7170">
      <w:pPr>
        <w:pStyle w:val="68"/>
        <w:ind w:left="0" w:firstLine="0"/>
        <w:outlineLvl w:val="0"/>
        <w:rPr>
          <w:rFonts w:ascii="宋体" w:hAnsi="宋体" w:eastAsia="宋体" w:cs="Times New Roman"/>
          <w:color w:val="auto"/>
          <w:sz w:val="21"/>
          <w:szCs w:val="21"/>
          <w:highlight w:val="none"/>
        </w:rPr>
      </w:pPr>
      <w:bookmarkStart w:id="302" w:name="_Toc20082"/>
      <w:bookmarkStart w:id="303" w:name="_Toc12920"/>
      <w:bookmarkStart w:id="304" w:name="_Toc12553"/>
      <w:bookmarkStart w:id="305" w:name="_Toc31766"/>
      <w:bookmarkStart w:id="306" w:name="_Toc22606"/>
      <w:bookmarkStart w:id="307" w:name="_Toc8356"/>
      <w:r>
        <w:rPr>
          <w:rFonts w:hint="eastAsia" w:ascii="宋体" w:hAnsi="宋体" w:eastAsia="宋体" w:cs="Times New Roman"/>
          <w:color w:val="auto"/>
          <w:sz w:val="21"/>
          <w:szCs w:val="21"/>
          <w:highlight w:val="none"/>
        </w:rPr>
        <w:t>3.6 备选竞包方案</w:t>
      </w:r>
      <w:bookmarkEnd w:id="302"/>
      <w:bookmarkEnd w:id="303"/>
      <w:bookmarkEnd w:id="304"/>
      <w:bookmarkEnd w:id="305"/>
      <w:bookmarkEnd w:id="306"/>
      <w:bookmarkEnd w:id="307"/>
      <w:r>
        <w:rPr>
          <w:rFonts w:hint="eastAsia" w:ascii="宋体" w:hAnsi="宋体" w:eastAsia="宋体" w:cs="Times New Roman"/>
          <w:color w:val="auto"/>
          <w:sz w:val="21"/>
          <w:szCs w:val="21"/>
          <w:highlight w:val="none"/>
        </w:rPr>
        <w:t xml:space="preserve"> </w:t>
      </w:r>
    </w:p>
    <w:p w14:paraId="588B880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3.6.1 除竞包人须知前附表规定允许外，竞包人不得递交备选竞包方案，否则其竞包将被否决。</w:t>
      </w:r>
    </w:p>
    <w:p w14:paraId="1A2C81C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3.6.2 允许竞包人递交备选竞包方案的，只有中包人所递交的备选竞包方案方可予以考虑。评标委员会认为中包人的备选竞包方案优于其按照发包文件要求编制的竞包方案的，发包人可以接受该备选竞包方案。</w:t>
      </w:r>
    </w:p>
    <w:p w14:paraId="0D00106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3.6.3 竞包人提供两个或两个以上竞包报价，或在竞包文件中提供一个报价，但同时提供两个或两个以上技术建议书的，视为提供备选方案。</w:t>
      </w:r>
    </w:p>
    <w:p w14:paraId="5F61D58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3.7.1 竞包文件应按第六章“竞包文件格式”进行编写，如有必要，可以增加附页，作为竞包文件的组成部分。 </w:t>
      </w:r>
    </w:p>
    <w:p w14:paraId="7A53B43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3.7.2 竞包文件应对发包文件有关设计服务期限、竞包有效期、质量要求、安全目标、发包人要求、发包范围等实质性内容作出响应。 </w:t>
      </w:r>
    </w:p>
    <w:p w14:paraId="62EF095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3.7.3 竞包文件的制作应符合竞包人须知前附表的规定。</w:t>
      </w:r>
    </w:p>
    <w:p w14:paraId="6A3283D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3.7.4 因竞包人自身原因而导致竞包文件无法导入“交易平台”电子开标、评标系统，该竞包视为无效竞包，竞包人自行承担由此导致的全部责任。竞包人在竞包截止时间上传至“交易平台”的电子竞包文件为竞包文件的正本。 </w:t>
      </w:r>
    </w:p>
    <w:p w14:paraId="1BCC60C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3.7.5 竞包时无须提供纸质竞包文件，但如发包人要求，中包人应按要求提供纸质竞包文件副本，纸质竞包文件应为电子竞包文件的打印件，并加盖公章。 </w:t>
      </w:r>
    </w:p>
    <w:p w14:paraId="2A93D960">
      <w:pPr>
        <w:pStyle w:val="62"/>
        <w:ind w:left="0" w:firstLine="0"/>
        <w:outlineLvl w:val="0"/>
        <w:rPr>
          <w:rFonts w:ascii="宋体" w:hAnsi="宋体" w:eastAsia="宋体" w:cs="Times New Roman"/>
          <w:color w:val="auto"/>
          <w:sz w:val="21"/>
          <w:szCs w:val="21"/>
          <w:highlight w:val="none"/>
        </w:rPr>
      </w:pPr>
      <w:bookmarkStart w:id="308" w:name="_Toc7305"/>
      <w:bookmarkStart w:id="309" w:name="_Toc10300"/>
      <w:bookmarkStart w:id="310" w:name="_Toc15656"/>
      <w:bookmarkStart w:id="311" w:name="_Toc9065"/>
      <w:bookmarkStart w:id="312" w:name="_Toc1939"/>
      <w:bookmarkStart w:id="313" w:name="_Toc32304"/>
      <w:r>
        <w:rPr>
          <w:rFonts w:hint="eastAsia" w:ascii="宋体" w:hAnsi="宋体" w:eastAsia="宋体" w:cs="Times New Roman"/>
          <w:color w:val="auto"/>
          <w:sz w:val="21"/>
          <w:szCs w:val="21"/>
          <w:highlight w:val="none"/>
        </w:rPr>
        <w:t xml:space="preserve">4. </w:t>
      </w:r>
      <w:bookmarkEnd w:id="308"/>
      <w:bookmarkEnd w:id="309"/>
      <w:bookmarkEnd w:id="310"/>
      <w:bookmarkEnd w:id="311"/>
      <w:bookmarkEnd w:id="312"/>
      <w:r>
        <w:rPr>
          <w:rFonts w:hint="eastAsia" w:ascii="宋体" w:hAnsi="宋体" w:eastAsia="宋体" w:cs="Times New Roman"/>
          <w:color w:val="auto"/>
          <w:sz w:val="21"/>
          <w:szCs w:val="21"/>
          <w:highlight w:val="none"/>
        </w:rPr>
        <w:t>竞包</w:t>
      </w:r>
      <w:bookmarkEnd w:id="313"/>
      <w:r>
        <w:rPr>
          <w:rFonts w:hint="eastAsia" w:ascii="宋体" w:hAnsi="宋体" w:eastAsia="宋体" w:cs="Times New Roman"/>
          <w:color w:val="auto"/>
          <w:sz w:val="21"/>
          <w:szCs w:val="21"/>
          <w:highlight w:val="none"/>
        </w:rPr>
        <w:t xml:space="preserve">  </w:t>
      </w:r>
    </w:p>
    <w:p w14:paraId="6A90DD43">
      <w:pPr>
        <w:pStyle w:val="14"/>
        <w:spacing w:line="400" w:lineRule="exact"/>
        <w:ind w:left="0" w:firstLine="420" w:firstLineChars="200"/>
        <w:rPr>
          <w:rFonts w:ascii="宋体" w:hAnsi="宋体"/>
          <w:color w:val="auto"/>
          <w:szCs w:val="21"/>
          <w:highlight w:val="none"/>
        </w:rPr>
      </w:pPr>
      <w:bookmarkStart w:id="314" w:name="_Toc20658"/>
      <w:bookmarkStart w:id="315" w:name="_Toc22963"/>
      <w:bookmarkStart w:id="316" w:name="_Toc7758"/>
      <w:bookmarkStart w:id="317" w:name="_Toc8695"/>
      <w:bookmarkStart w:id="318" w:name="_Toc286"/>
      <w:bookmarkStart w:id="319" w:name="_Toc12244"/>
      <w:r>
        <w:rPr>
          <w:rFonts w:hint="eastAsia" w:ascii="宋体" w:hAnsi="宋体"/>
          <w:color w:val="auto"/>
          <w:szCs w:val="21"/>
          <w:highlight w:val="none"/>
        </w:rPr>
        <w:t>4.1 竞包文件的密封和标识</w:t>
      </w:r>
      <w:bookmarkEnd w:id="314"/>
      <w:bookmarkEnd w:id="315"/>
      <w:bookmarkEnd w:id="316"/>
      <w:bookmarkEnd w:id="317"/>
      <w:bookmarkEnd w:id="318"/>
      <w:bookmarkEnd w:id="319"/>
      <w:bookmarkStart w:id="320" w:name="_Hlk41978228"/>
      <w:r>
        <w:rPr>
          <w:rFonts w:hint="eastAsia" w:ascii="宋体" w:hAnsi="宋体"/>
          <w:color w:val="auto"/>
          <w:szCs w:val="21"/>
          <w:highlight w:val="none"/>
        </w:rPr>
        <w:t>：见竞包人须知前附表。</w:t>
      </w:r>
    </w:p>
    <w:bookmarkEnd w:id="320"/>
    <w:p w14:paraId="73F5E9B5">
      <w:pPr>
        <w:pStyle w:val="68"/>
        <w:ind w:left="0" w:firstLine="0"/>
        <w:outlineLvl w:val="0"/>
        <w:rPr>
          <w:rFonts w:ascii="宋体" w:hAnsi="宋体"/>
          <w:color w:val="auto"/>
          <w:szCs w:val="21"/>
          <w:highlight w:val="none"/>
        </w:rPr>
      </w:pPr>
      <w:bookmarkStart w:id="321" w:name="_Toc133"/>
      <w:bookmarkStart w:id="322" w:name="_Toc6112"/>
      <w:bookmarkStart w:id="323" w:name="_Toc1802"/>
      <w:bookmarkStart w:id="324" w:name="_Toc17256"/>
      <w:bookmarkStart w:id="325" w:name="_Toc13627"/>
      <w:bookmarkStart w:id="326" w:name="_Toc4406"/>
      <w:r>
        <w:rPr>
          <w:rFonts w:hint="eastAsia" w:ascii="宋体" w:hAnsi="宋体" w:eastAsia="宋体" w:cs="Times New Roman"/>
          <w:color w:val="auto"/>
          <w:sz w:val="21"/>
          <w:szCs w:val="21"/>
          <w:highlight w:val="none"/>
        </w:rPr>
        <w:t>4.2 竞包文件的递交</w:t>
      </w:r>
      <w:bookmarkEnd w:id="321"/>
      <w:bookmarkEnd w:id="322"/>
      <w:bookmarkEnd w:id="323"/>
      <w:bookmarkEnd w:id="324"/>
      <w:bookmarkEnd w:id="325"/>
      <w:bookmarkEnd w:id="326"/>
      <w:r>
        <w:rPr>
          <w:rFonts w:hint="eastAsia" w:ascii="宋体" w:hAnsi="宋体" w:eastAsia="宋体" w:cs="Times New Roman"/>
          <w:color w:val="auto"/>
          <w:sz w:val="21"/>
          <w:szCs w:val="21"/>
          <w:highlight w:val="none"/>
        </w:rPr>
        <w:t xml:space="preserve">：见竞包人须知前附表。 </w:t>
      </w:r>
    </w:p>
    <w:p w14:paraId="49E5E3D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4.2.2 递交竞包文件方式和地点：见竞包人须知前附表。 </w:t>
      </w:r>
    </w:p>
    <w:p w14:paraId="2495E00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4.2.3 是否退还竞包文件：见竞包人须知前附表。 </w:t>
      </w:r>
    </w:p>
    <w:p w14:paraId="5519845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4.2.4 竞包文件不予受理的情形：见竞包人须知前附表。 </w:t>
      </w:r>
    </w:p>
    <w:p w14:paraId="07081881">
      <w:pPr>
        <w:pStyle w:val="68"/>
        <w:ind w:left="0" w:firstLine="0"/>
        <w:outlineLvl w:val="0"/>
        <w:rPr>
          <w:rFonts w:ascii="宋体" w:hAnsi="宋体" w:eastAsia="宋体" w:cs="Times New Roman"/>
          <w:color w:val="auto"/>
          <w:sz w:val="21"/>
          <w:szCs w:val="21"/>
          <w:highlight w:val="none"/>
        </w:rPr>
      </w:pPr>
      <w:bookmarkStart w:id="327" w:name="_Toc21781"/>
      <w:bookmarkStart w:id="328" w:name="_Toc23255"/>
      <w:bookmarkStart w:id="329" w:name="_Toc3934"/>
      <w:bookmarkStart w:id="330" w:name="_Toc28118"/>
      <w:bookmarkStart w:id="331" w:name="_Toc16322"/>
      <w:bookmarkStart w:id="332" w:name="_Toc20521"/>
      <w:r>
        <w:rPr>
          <w:rFonts w:hint="eastAsia" w:ascii="宋体" w:hAnsi="宋体" w:eastAsia="宋体" w:cs="Times New Roman"/>
          <w:color w:val="auto"/>
          <w:sz w:val="21"/>
          <w:szCs w:val="21"/>
          <w:highlight w:val="none"/>
        </w:rPr>
        <w:t>4.3 竞包文件的修改与撤回</w:t>
      </w:r>
      <w:bookmarkEnd w:id="327"/>
      <w:bookmarkEnd w:id="328"/>
      <w:bookmarkEnd w:id="329"/>
      <w:bookmarkEnd w:id="330"/>
      <w:bookmarkEnd w:id="331"/>
      <w:bookmarkEnd w:id="332"/>
      <w:r>
        <w:rPr>
          <w:rFonts w:hint="eastAsia" w:ascii="宋体" w:hAnsi="宋体" w:eastAsia="宋体" w:cs="Times New Roman"/>
          <w:color w:val="auto"/>
          <w:sz w:val="21"/>
          <w:szCs w:val="21"/>
          <w:highlight w:val="none"/>
        </w:rPr>
        <w:t xml:space="preserve"> </w:t>
      </w:r>
    </w:p>
    <w:p w14:paraId="43FBC1F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4.3.1 在本章第4.2.1项规定的竞包截止时间前，竞包人可以修改或撤回已递交的竞包文件。竞包人对加密的竞包文件进行撤回的，应在“交易平台”直接进行撤回操作；竞包人对加密的竞包文件进行修改的，应在竞包截止时间前完成上传。</w:t>
      </w:r>
    </w:p>
    <w:p w14:paraId="55C06F3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4.3.2 竞包人修改竞包文件的，应使用“竞包文件制作工具”制作成完整的竞包文件，并按照本章第3条、第4条规定进行编制、加密和递交。对采用网上递交的加密的竞包文件，以竞包截止时间前最后完成上传的文件为准。</w:t>
      </w:r>
    </w:p>
    <w:p w14:paraId="19450D9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4.3.3 竞包人撤回竞包文件的，发包人自收到竞包人书面撤回通知之日起5日内退还已收取的竞包保证金。 </w:t>
      </w:r>
    </w:p>
    <w:p w14:paraId="78D7B062">
      <w:pPr>
        <w:pStyle w:val="62"/>
        <w:ind w:left="0" w:firstLine="0"/>
        <w:outlineLvl w:val="0"/>
        <w:rPr>
          <w:rFonts w:ascii="宋体" w:hAnsi="宋体" w:eastAsia="宋体" w:cs="Times New Roman"/>
          <w:color w:val="auto"/>
          <w:sz w:val="21"/>
          <w:szCs w:val="21"/>
          <w:highlight w:val="none"/>
        </w:rPr>
      </w:pPr>
      <w:bookmarkStart w:id="333" w:name="_Toc2604"/>
      <w:bookmarkStart w:id="334" w:name="_Toc26540"/>
      <w:bookmarkStart w:id="335" w:name="_Toc28691"/>
      <w:bookmarkStart w:id="336" w:name="_Toc16362"/>
      <w:bookmarkStart w:id="337" w:name="_Toc10405"/>
      <w:bookmarkStart w:id="338" w:name="_Toc29143"/>
      <w:r>
        <w:rPr>
          <w:rFonts w:hint="eastAsia" w:ascii="宋体" w:hAnsi="宋体" w:eastAsia="宋体" w:cs="Times New Roman"/>
          <w:color w:val="auto"/>
          <w:sz w:val="21"/>
          <w:szCs w:val="21"/>
          <w:highlight w:val="none"/>
        </w:rPr>
        <w:t>5. 开标</w:t>
      </w:r>
      <w:bookmarkEnd w:id="333"/>
      <w:bookmarkEnd w:id="334"/>
      <w:bookmarkEnd w:id="335"/>
      <w:bookmarkEnd w:id="336"/>
      <w:bookmarkEnd w:id="337"/>
      <w:bookmarkEnd w:id="338"/>
      <w:r>
        <w:rPr>
          <w:rFonts w:hint="eastAsia" w:ascii="宋体" w:hAnsi="宋体" w:eastAsia="宋体" w:cs="Times New Roman"/>
          <w:color w:val="auto"/>
          <w:sz w:val="21"/>
          <w:szCs w:val="21"/>
          <w:highlight w:val="none"/>
        </w:rPr>
        <w:t xml:space="preserve"> </w:t>
      </w:r>
    </w:p>
    <w:p w14:paraId="29550D4E">
      <w:pPr>
        <w:pStyle w:val="68"/>
        <w:ind w:left="0" w:firstLine="0"/>
        <w:outlineLvl w:val="0"/>
        <w:rPr>
          <w:rFonts w:ascii="宋体" w:hAnsi="宋体" w:eastAsia="宋体" w:cs="Times New Roman"/>
          <w:color w:val="auto"/>
          <w:sz w:val="21"/>
          <w:szCs w:val="21"/>
          <w:highlight w:val="none"/>
        </w:rPr>
      </w:pPr>
      <w:bookmarkStart w:id="339" w:name="_Toc96"/>
      <w:bookmarkStart w:id="340" w:name="_Toc7029"/>
      <w:bookmarkStart w:id="341" w:name="_Toc30247"/>
      <w:bookmarkStart w:id="342" w:name="_Toc20583"/>
      <w:bookmarkStart w:id="343" w:name="_Toc2547"/>
      <w:bookmarkStart w:id="344" w:name="_Toc20452"/>
      <w:r>
        <w:rPr>
          <w:rFonts w:hint="eastAsia" w:ascii="宋体" w:hAnsi="宋体" w:eastAsia="宋体" w:cs="Times New Roman"/>
          <w:color w:val="auto"/>
          <w:sz w:val="21"/>
          <w:szCs w:val="21"/>
          <w:highlight w:val="none"/>
        </w:rPr>
        <w:t>5.1 开标时间和地点</w:t>
      </w:r>
      <w:bookmarkEnd w:id="339"/>
      <w:bookmarkEnd w:id="340"/>
      <w:bookmarkEnd w:id="341"/>
      <w:bookmarkEnd w:id="342"/>
      <w:bookmarkEnd w:id="343"/>
      <w:bookmarkEnd w:id="344"/>
      <w:r>
        <w:rPr>
          <w:rFonts w:hint="eastAsia" w:ascii="宋体" w:hAnsi="宋体" w:eastAsia="宋体" w:cs="Times New Roman"/>
          <w:color w:val="auto"/>
          <w:sz w:val="21"/>
          <w:szCs w:val="21"/>
          <w:highlight w:val="none"/>
        </w:rPr>
        <w:t xml:space="preserve"> </w:t>
      </w:r>
    </w:p>
    <w:p w14:paraId="05890A8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发包人在本章第4.2.1项规定的竞包截止时间（开标时间）和竞包人须知前附表规定的地点对收到的竞包文件第一个信封（商务及技术文件）公开开标，并邀请所有竞包人的法定代表人或其委托代理人准时参加。</w:t>
      </w:r>
    </w:p>
    <w:p w14:paraId="3F71C4E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发包人在竞包人须知前附表规定的时间和地点对竞包文件第二个信封（报价文件）公开开标，并邀请所有竞包人的法定代表人或其委托代理人准时参加。</w:t>
      </w:r>
    </w:p>
    <w:p w14:paraId="4E3713F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竞包人若未派法定代表人或委托代理人出席开标活动，视为该竞包人默认开标结果。</w:t>
      </w:r>
    </w:p>
    <w:p w14:paraId="4A7A7630">
      <w:pPr>
        <w:pStyle w:val="68"/>
        <w:ind w:left="0" w:firstLine="0"/>
        <w:outlineLvl w:val="0"/>
        <w:rPr>
          <w:rFonts w:ascii="宋体" w:hAnsi="宋体" w:eastAsia="宋体" w:cs="Times New Roman"/>
          <w:color w:val="auto"/>
          <w:sz w:val="21"/>
          <w:szCs w:val="21"/>
          <w:highlight w:val="none"/>
        </w:rPr>
      </w:pPr>
      <w:bookmarkStart w:id="345" w:name="_Toc3223"/>
      <w:bookmarkStart w:id="346" w:name="_Toc25704"/>
      <w:bookmarkStart w:id="347" w:name="_Toc16694"/>
      <w:bookmarkStart w:id="348" w:name="_Toc1969"/>
      <w:bookmarkStart w:id="349" w:name="_Toc9666"/>
      <w:bookmarkStart w:id="350" w:name="_Toc23426"/>
      <w:r>
        <w:rPr>
          <w:rFonts w:hint="eastAsia" w:ascii="宋体" w:hAnsi="宋体" w:eastAsia="宋体" w:cs="Times New Roman"/>
          <w:color w:val="auto"/>
          <w:sz w:val="21"/>
          <w:szCs w:val="21"/>
          <w:highlight w:val="none"/>
        </w:rPr>
        <w:t>5.2 开标程序</w:t>
      </w:r>
      <w:bookmarkEnd w:id="345"/>
      <w:bookmarkEnd w:id="346"/>
      <w:bookmarkEnd w:id="347"/>
      <w:bookmarkEnd w:id="348"/>
      <w:bookmarkEnd w:id="349"/>
      <w:bookmarkEnd w:id="350"/>
      <w:r>
        <w:rPr>
          <w:rFonts w:hint="eastAsia" w:ascii="宋体" w:hAnsi="宋体" w:eastAsia="宋体" w:cs="Times New Roman"/>
          <w:color w:val="auto"/>
          <w:sz w:val="21"/>
          <w:szCs w:val="21"/>
          <w:highlight w:val="none"/>
        </w:rPr>
        <w:t xml:space="preserve"> </w:t>
      </w:r>
    </w:p>
    <w:p w14:paraId="6A9DDA24">
      <w:pPr>
        <w:pStyle w:val="14"/>
        <w:spacing w:line="400" w:lineRule="exact"/>
        <w:ind w:left="0" w:firstLine="420" w:firstLineChars="200"/>
        <w:rPr>
          <w:rFonts w:ascii="宋体" w:hAnsi="宋体"/>
          <w:color w:val="auto"/>
          <w:szCs w:val="21"/>
          <w:highlight w:val="none"/>
        </w:rPr>
      </w:pPr>
      <w:bookmarkStart w:id="351" w:name="_Toc452457668"/>
      <w:r>
        <w:rPr>
          <w:rFonts w:hint="eastAsia" w:ascii="宋体" w:hAnsi="宋体"/>
          <w:color w:val="auto"/>
          <w:szCs w:val="21"/>
          <w:highlight w:val="none"/>
        </w:rPr>
        <w:t>开标程序见</w:t>
      </w:r>
      <w:bookmarkEnd w:id="351"/>
      <w:r>
        <w:rPr>
          <w:rFonts w:hint="eastAsia" w:ascii="宋体" w:hAnsi="宋体"/>
          <w:color w:val="auto"/>
          <w:szCs w:val="21"/>
          <w:highlight w:val="none"/>
        </w:rPr>
        <w:t>竞包人须知前附表。</w:t>
      </w:r>
    </w:p>
    <w:p w14:paraId="61617CCE">
      <w:pPr>
        <w:pStyle w:val="68"/>
        <w:ind w:left="0" w:firstLine="0"/>
        <w:outlineLvl w:val="0"/>
        <w:rPr>
          <w:rFonts w:ascii="宋体" w:hAnsi="宋体" w:eastAsia="宋体" w:cs="Times New Roman"/>
          <w:color w:val="auto"/>
          <w:sz w:val="21"/>
          <w:szCs w:val="21"/>
          <w:highlight w:val="none"/>
        </w:rPr>
      </w:pPr>
      <w:bookmarkStart w:id="352" w:name="_Toc26923"/>
      <w:bookmarkStart w:id="353" w:name="_Toc4809"/>
      <w:bookmarkStart w:id="354" w:name="_Toc30256"/>
      <w:bookmarkStart w:id="355" w:name="_Toc25310"/>
      <w:bookmarkStart w:id="356" w:name="_Toc10689"/>
      <w:bookmarkStart w:id="357" w:name="_Toc23542"/>
      <w:r>
        <w:rPr>
          <w:rFonts w:hint="eastAsia" w:ascii="宋体" w:hAnsi="宋体" w:eastAsia="宋体" w:cs="Times New Roman"/>
          <w:color w:val="auto"/>
          <w:sz w:val="21"/>
          <w:szCs w:val="21"/>
          <w:highlight w:val="none"/>
        </w:rPr>
        <w:t>5.3 开标异议</w:t>
      </w:r>
      <w:bookmarkEnd w:id="352"/>
      <w:bookmarkEnd w:id="353"/>
      <w:bookmarkEnd w:id="354"/>
      <w:bookmarkEnd w:id="355"/>
      <w:bookmarkEnd w:id="356"/>
      <w:bookmarkEnd w:id="357"/>
      <w:r>
        <w:rPr>
          <w:rFonts w:hint="eastAsia" w:ascii="宋体" w:hAnsi="宋体" w:eastAsia="宋体" w:cs="Times New Roman"/>
          <w:color w:val="auto"/>
          <w:sz w:val="21"/>
          <w:szCs w:val="21"/>
          <w:highlight w:val="none"/>
        </w:rPr>
        <w:t xml:space="preserve"> </w:t>
      </w:r>
    </w:p>
    <w:p w14:paraId="1618270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竞包人对开标有异议的，应在开标现场提出，发包人当场作出答复，并制作记录，有异议的竞包人代表、发包人代表、记录人等有关人员在记录上签字确认。 </w:t>
      </w:r>
    </w:p>
    <w:p w14:paraId="3B58F3BD">
      <w:pPr>
        <w:pStyle w:val="62"/>
        <w:ind w:left="0" w:firstLine="0"/>
        <w:outlineLvl w:val="0"/>
        <w:rPr>
          <w:rFonts w:ascii="宋体" w:hAnsi="宋体" w:eastAsia="宋体" w:cs="Times New Roman"/>
          <w:color w:val="auto"/>
          <w:sz w:val="21"/>
          <w:szCs w:val="21"/>
          <w:highlight w:val="none"/>
        </w:rPr>
      </w:pPr>
      <w:bookmarkStart w:id="358" w:name="_Toc2281"/>
      <w:bookmarkStart w:id="359" w:name="_Toc5558"/>
      <w:bookmarkStart w:id="360" w:name="_Toc5314"/>
      <w:bookmarkStart w:id="361" w:name="_Toc5083"/>
      <w:bookmarkStart w:id="362" w:name="_Toc23835"/>
      <w:bookmarkStart w:id="363" w:name="_Toc14708"/>
      <w:r>
        <w:rPr>
          <w:rFonts w:hint="eastAsia" w:ascii="宋体" w:hAnsi="宋体" w:eastAsia="宋体" w:cs="Times New Roman"/>
          <w:color w:val="auto"/>
          <w:sz w:val="21"/>
          <w:szCs w:val="21"/>
          <w:highlight w:val="none"/>
        </w:rPr>
        <w:t>6. 评标</w:t>
      </w:r>
      <w:bookmarkEnd w:id="358"/>
      <w:bookmarkEnd w:id="359"/>
      <w:bookmarkEnd w:id="360"/>
      <w:bookmarkEnd w:id="361"/>
      <w:bookmarkEnd w:id="362"/>
      <w:bookmarkEnd w:id="363"/>
      <w:r>
        <w:rPr>
          <w:rFonts w:hint="eastAsia" w:ascii="宋体" w:hAnsi="宋体" w:eastAsia="宋体" w:cs="Times New Roman"/>
          <w:color w:val="auto"/>
          <w:sz w:val="21"/>
          <w:szCs w:val="21"/>
          <w:highlight w:val="none"/>
        </w:rPr>
        <w:t xml:space="preserve"> </w:t>
      </w:r>
    </w:p>
    <w:p w14:paraId="45EC52EC">
      <w:pPr>
        <w:pStyle w:val="68"/>
        <w:ind w:left="0" w:firstLine="0"/>
        <w:outlineLvl w:val="0"/>
        <w:rPr>
          <w:rFonts w:ascii="宋体" w:hAnsi="宋体" w:eastAsia="宋体" w:cs="Times New Roman"/>
          <w:color w:val="auto"/>
          <w:sz w:val="21"/>
          <w:szCs w:val="21"/>
          <w:highlight w:val="none"/>
        </w:rPr>
      </w:pPr>
      <w:bookmarkStart w:id="364" w:name="_Toc679"/>
      <w:bookmarkStart w:id="365" w:name="_Toc13530"/>
      <w:bookmarkStart w:id="366" w:name="_Toc27174"/>
      <w:bookmarkStart w:id="367" w:name="_Toc4528"/>
      <w:bookmarkStart w:id="368" w:name="_Toc8174"/>
      <w:bookmarkStart w:id="369" w:name="_Toc14194"/>
      <w:r>
        <w:rPr>
          <w:rFonts w:hint="eastAsia" w:ascii="宋体" w:hAnsi="宋体" w:eastAsia="宋体" w:cs="Times New Roman"/>
          <w:color w:val="auto"/>
          <w:sz w:val="21"/>
          <w:szCs w:val="21"/>
          <w:highlight w:val="none"/>
        </w:rPr>
        <w:t>6.1 评标委员会</w:t>
      </w:r>
      <w:bookmarkEnd w:id="364"/>
      <w:bookmarkEnd w:id="365"/>
      <w:bookmarkEnd w:id="366"/>
      <w:bookmarkEnd w:id="367"/>
      <w:bookmarkEnd w:id="368"/>
      <w:bookmarkEnd w:id="369"/>
      <w:r>
        <w:rPr>
          <w:rFonts w:hint="eastAsia" w:ascii="宋体" w:hAnsi="宋体" w:eastAsia="宋体" w:cs="Times New Roman"/>
          <w:color w:val="auto"/>
          <w:sz w:val="21"/>
          <w:szCs w:val="21"/>
          <w:highlight w:val="none"/>
        </w:rPr>
        <w:t xml:space="preserve"> </w:t>
      </w:r>
    </w:p>
    <w:p w14:paraId="748E703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6.1.1 评标由发包人依法组建的评标委员会负责。评标委员会由发包人或其委托的发包代理机构熟悉相关业务的代表，以及有关技术、经济等方面的专家组成。评标委员会成员人数以及技术、经济等方面专家的确定方式见竞包人须知前附表。 </w:t>
      </w:r>
    </w:p>
    <w:p w14:paraId="3CC31E8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6.1.2 属于下列情况之一的人员，不得进入评标委员会或者协助评标：</w:t>
      </w:r>
    </w:p>
    <w:p w14:paraId="115FE91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（1）负责发包项目监督管理的交通运输主管部门的工作人员；</w:t>
      </w:r>
    </w:p>
    <w:p w14:paraId="04137F2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（2）与竞包人法定代表人或者授权参与竞包的代理人有近亲属关系的人员；</w:t>
      </w:r>
    </w:p>
    <w:p w14:paraId="1B22661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（3）竞包人的工作人员或者退休人员；</w:t>
      </w:r>
    </w:p>
    <w:p w14:paraId="15FC21E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（4）与竞包人有其他利害关系，可能影响评标活动公正性的人员；</w:t>
      </w:r>
    </w:p>
    <w:p w14:paraId="3D08019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（5）在与发包竞包有关的活动中有过违法违规行为、曾受过行政处罚或者刑事处罚的人员。</w:t>
      </w:r>
    </w:p>
    <w:p w14:paraId="77F33CA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发包人及其子公司、发包人的上级主管部门或者控股公司、发包代理机构的工作人员或者退休人员不得以专家身份参与本单位发包或者发包代理项目的评标。 </w:t>
      </w:r>
    </w:p>
    <w:p w14:paraId="713ED4A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6.1.3 评标过程中，评标委员会成员有回避事由、擅离职守或因健康等原因不能继续评标的，发包人有权更换。被更换的评标委员会成员作出的评审结论无效，由更换后的评标委员会成员重新进行评审。</w:t>
      </w:r>
    </w:p>
    <w:p w14:paraId="217185E9">
      <w:pPr>
        <w:pStyle w:val="68"/>
        <w:ind w:left="0" w:firstLine="0"/>
        <w:outlineLvl w:val="0"/>
        <w:rPr>
          <w:rFonts w:ascii="宋体" w:hAnsi="宋体" w:eastAsia="宋体" w:cs="Times New Roman"/>
          <w:color w:val="auto"/>
          <w:sz w:val="21"/>
          <w:szCs w:val="21"/>
          <w:highlight w:val="none"/>
        </w:rPr>
      </w:pPr>
      <w:bookmarkStart w:id="370" w:name="_Toc7926"/>
      <w:bookmarkStart w:id="371" w:name="_Toc23298"/>
      <w:bookmarkStart w:id="372" w:name="_Toc15332"/>
      <w:bookmarkStart w:id="373" w:name="_Toc13408"/>
      <w:bookmarkStart w:id="374" w:name="_Toc10522"/>
      <w:bookmarkStart w:id="375" w:name="_Toc20883"/>
      <w:r>
        <w:rPr>
          <w:rFonts w:hint="eastAsia" w:ascii="宋体" w:hAnsi="宋体" w:eastAsia="宋体" w:cs="Times New Roman"/>
          <w:color w:val="auto"/>
          <w:sz w:val="21"/>
          <w:szCs w:val="21"/>
          <w:highlight w:val="none"/>
        </w:rPr>
        <w:t>6.2 评标原则</w:t>
      </w:r>
      <w:bookmarkEnd w:id="370"/>
      <w:bookmarkEnd w:id="371"/>
      <w:bookmarkEnd w:id="372"/>
      <w:bookmarkEnd w:id="373"/>
      <w:bookmarkEnd w:id="374"/>
      <w:bookmarkEnd w:id="375"/>
      <w:r>
        <w:rPr>
          <w:rFonts w:hint="eastAsia" w:ascii="宋体" w:hAnsi="宋体" w:eastAsia="宋体" w:cs="Times New Roman"/>
          <w:color w:val="auto"/>
          <w:sz w:val="21"/>
          <w:szCs w:val="21"/>
          <w:highlight w:val="none"/>
        </w:rPr>
        <w:t xml:space="preserve"> </w:t>
      </w:r>
    </w:p>
    <w:p w14:paraId="6DAA8CD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评标活动遵循公平、公正、科学和择优的原则。 </w:t>
      </w:r>
    </w:p>
    <w:p w14:paraId="4E154EC4">
      <w:pPr>
        <w:pStyle w:val="68"/>
        <w:ind w:left="0" w:firstLine="0"/>
        <w:outlineLvl w:val="0"/>
        <w:rPr>
          <w:rFonts w:ascii="宋体" w:hAnsi="宋体" w:eastAsia="宋体" w:cs="Times New Roman"/>
          <w:color w:val="auto"/>
          <w:sz w:val="21"/>
          <w:szCs w:val="21"/>
          <w:highlight w:val="none"/>
        </w:rPr>
      </w:pPr>
      <w:bookmarkStart w:id="376" w:name="_Toc21794"/>
      <w:bookmarkStart w:id="377" w:name="_Toc22063"/>
      <w:bookmarkStart w:id="378" w:name="_Toc25826"/>
      <w:bookmarkStart w:id="379" w:name="_Toc9807"/>
      <w:bookmarkStart w:id="380" w:name="_Toc3510"/>
      <w:bookmarkStart w:id="381" w:name="_Toc3112"/>
      <w:r>
        <w:rPr>
          <w:rFonts w:hint="eastAsia" w:ascii="宋体" w:hAnsi="宋体" w:eastAsia="宋体" w:cs="Times New Roman"/>
          <w:color w:val="auto"/>
          <w:sz w:val="21"/>
          <w:szCs w:val="21"/>
          <w:highlight w:val="none"/>
        </w:rPr>
        <w:t>6.3 评标</w:t>
      </w:r>
      <w:bookmarkEnd w:id="376"/>
      <w:bookmarkEnd w:id="377"/>
      <w:bookmarkEnd w:id="378"/>
      <w:bookmarkEnd w:id="379"/>
      <w:bookmarkEnd w:id="380"/>
      <w:bookmarkEnd w:id="381"/>
      <w:r>
        <w:rPr>
          <w:rFonts w:hint="eastAsia" w:ascii="宋体" w:hAnsi="宋体" w:eastAsia="宋体" w:cs="Times New Roman"/>
          <w:color w:val="auto"/>
          <w:sz w:val="21"/>
          <w:szCs w:val="21"/>
          <w:highlight w:val="none"/>
        </w:rPr>
        <w:t xml:space="preserve"> </w:t>
      </w:r>
    </w:p>
    <w:p w14:paraId="206D2320">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6.3.1 评标委员会按照第三章“评标办法”规定的方法、评审因素、标准和程序对竞包文件进行评审。第三章“评标办法”没有规定的方法、评审因素和标准，不作为评标依据。</w:t>
      </w:r>
    </w:p>
    <w:p w14:paraId="5815855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6.3.2 评标完成后，评标委员会应向发包人提交书面评标报告和中包候选人名单。评标委员会推荐中包候选人的人数见竞包人须知前附表。</w:t>
      </w:r>
    </w:p>
    <w:p w14:paraId="19B38AD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6.3.3 评标及补救措施</w:t>
      </w:r>
    </w:p>
    <w:p w14:paraId="496653A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评标委员会按照本章第6.3.1项的规定开展评审工作。如果评标过程中出现异常情况，导致无法继续评审工作的，可暂停评标，对原有资料及信息做出妥善保密处理，待恢复正常之后，应重新组织评审。  </w:t>
      </w:r>
    </w:p>
    <w:p w14:paraId="6F108159">
      <w:pPr>
        <w:pStyle w:val="62"/>
        <w:ind w:left="0" w:firstLine="0"/>
        <w:outlineLvl w:val="0"/>
        <w:rPr>
          <w:rFonts w:ascii="宋体" w:hAnsi="宋体" w:eastAsia="宋体" w:cs="Times New Roman"/>
          <w:color w:val="auto"/>
          <w:sz w:val="21"/>
          <w:szCs w:val="21"/>
          <w:highlight w:val="none"/>
        </w:rPr>
      </w:pPr>
      <w:bookmarkStart w:id="382" w:name="_Toc6721"/>
      <w:bookmarkStart w:id="383" w:name="_Toc13015"/>
      <w:bookmarkStart w:id="384" w:name="_Toc30966"/>
      <w:bookmarkStart w:id="385" w:name="_Toc25068"/>
      <w:bookmarkStart w:id="386" w:name="_Toc9931"/>
      <w:bookmarkStart w:id="387" w:name="_Toc28683"/>
      <w:r>
        <w:rPr>
          <w:rFonts w:hint="eastAsia" w:ascii="宋体" w:hAnsi="宋体" w:eastAsia="宋体" w:cs="Times New Roman"/>
          <w:color w:val="auto"/>
          <w:sz w:val="21"/>
          <w:szCs w:val="21"/>
          <w:highlight w:val="none"/>
        </w:rPr>
        <w:t>7. 合同授予</w:t>
      </w:r>
      <w:bookmarkEnd w:id="382"/>
      <w:bookmarkEnd w:id="383"/>
      <w:bookmarkEnd w:id="384"/>
      <w:bookmarkEnd w:id="385"/>
      <w:bookmarkEnd w:id="386"/>
      <w:bookmarkEnd w:id="387"/>
      <w:r>
        <w:rPr>
          <w:rFonts w:hint="eastAsia" w:ascii="宋体" w:hAnsi="宋体" w:eastAsia="宋体" w:cs="Times New Roman"/>
          <w:color w:val="auto"/>
          <w:sz w:val="21"/>
          <w:szCs w:val="21"/>
          <w:highlight w:val="none"/>
        </w:rPr>
        <w:t xml:space="preserve"> </w:t>
      </w:r>
    </w:p>
    <w:p w14:paraId="0F84CFEC">
      <w:pPr>
        <w:pStyle w:val="68"/>
        <w:ind w:left="0" w:firstLine="0"/>
        <w:outlineLvl w:val="0"/>
        <w:rPr>
          <w:rFonts w:ascii="宋体" w:hAnsi="宋体" w:eastAsia="宋体" w:cs="Times New Roman"/>
          <w:color w:val="auto"/>
          <w:sz w:val="21"/>
          <w:szCs w:val="21"/>
          <w:highlight w:val="none"/>
        </w:rPr>
      </w:pPr>
      <w:bookmarkStart w:id="388" w:name="_Toc25725"/>
      <w:bookmarkStart w:id="389" w:name="_Toc23042"/>
      <w:bookmarkStart w:id="390" w:name="_Toc19137"/>
      <w:bookmarkStart w:id="391" w:name="_Toc1471"/>
      <w:bookmarkStart w:id="392" w:name="_Toc6630"/>
      <w:bookmarkStart w:id="393" w:name="_Toc26818"/>
      <w:r>
        <w:rPr>
          <w:rFonts w:hint="eastAsia" w:ascii="宋体" w:hAnsi="宋体" w:eastAsia="宋体" w:cs="Times New Roman"/>
          <w:color w:val="auto"/>
          <w:sz w:val="21"/>
          <w:szCs w:val="21"/>
          <w:highlight w:val="none"/>
        </w:rPr>
        <w:t>7.1 中包候选人公示</w:t>
      </w:r>
      <w:bookmarkEnd w:id="388"/>
      <w:bookmarkEnd w:id="389"/>
      <w:bookmarkEnd w:id="390"/>
      <w:bookmarkEnd w:id="391"/>
      <w:bookmarkEnd w:id="392"/>
      <w:bookmarkEnd w:id="393"/>
      <w:r>
        <w:rPr>
          <w:rFonts w:hint="eastAsia" w:ascii="宋体" w:hAnsi="宋体" w:eastAsia="宋体" w:cs="Times New Roman"/>
          <w:color w:val="auto"/>
          <w:sz w:val="21"/>
          <w:szCs w:val="21"/>
          <w:highlight w:val="none"/>
        </w:rPr>
        <w:t xml:space="preserve"> </w:t>
      </w:r>
    </w:p>
    <w:p w14:paraId="27E26E5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发包人在收到评标报告之日起3日内，按照竞包人须知前附表规定的公示媒介和期限公示中包候选人，公示期不得少于3日，公示内容见竞包人须知前附表。</w:t>
      </w:r>
    </w:p>
    <w:p w14:paraId="51B778D0">
      <w:pPr>
        <w:pStyle w:val="68"/>
        <w:ind w:left="0" w:firstLine="0"/>
        <w:outlineLvl w:val="0"/>
        <w:rPr>
          <w:rFonts w:ascii="宋体" w:hAnsi="宋体" w:eastAsia="宋体" w:cs="Times New Roman"/>
          <w:color w:val="auto"/>
          <w:sz w:val="21"/>
          <w:szCs w:val="21"/>
          <w:highlight w:val="none"/>
        </w:rPr>
      </w:pPr>
      <w:bookmarkStart w:id="394" w:name="_Toc28152"/>
      <w:bookmarkStart w:id="395" w:name="_Toc16309"/>
      <w:bookmarkStart w:id="396" w:name="_Toc19066"/>
      <w:bookmarkStart w:id="397" w:name="_Toc3872"/>
      <w:bookmarkStart w:id="398" w:name="_Toc19009"/>
      <w:bookmarkStart w:id="399" w:name="_Toc23375"/>
      <w:r>
        <w:rPr>
          <w:rFonts w:hint="eastAsia" w:ascii="宋体" w:hAnsi="宋体" w:eastAsia="宋体" w:cs="Times New Roman"/>
          <w:color w:val="auto"/>
          <w:sz w:val="21"/>
          <w:szCs w:val="21"/>
          <w:highlight w:val="none"/>
        </w:rPr>
        <w:t>7.2 评标结果异议</w:t>
      </w:r>
      <w:bookmarkEnd w:id="394"/>
      <w:bookmarkEnd w:id="395"/>
      <w:bookmarkEnd w:id="396"/>
      <w:bookmarkEnd w:id="397"/>
      <w:bookmarkEnd w:id="398"/>
      <w:bookmarkEnd w:id="399"/>
      <w:r>
        <w:rPr>
          <w:rFonts w:hint="eastAsia" w:ascii="宋体" w:hAnsi="宋体" w:eastAsia="宋体" w:cs="Times New Roman"/>
          <w:color w:val="auto"/>
          <w:sz w:val="21"/>
          <w:szCs w:val="21"/>
          <w:highlight w:val="none"/>
        </w:rPr>
        <w:t xml:space="preserve"> </w:t>
      </w:r>
    </w:p>
    <w:p w14:paraId="3CE238A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或其他利害关系人对依法必须进行发包的项目的评标结果有异议的，应在中包候选人公示期间提出。发包人将在收到异议之日起3日内作出答复；作出答复前，将暂停发包竞包活动。提出异议与作出答复均应通过“交易平台”以书面形式进行。</w:t>
      </w:r>
    </w:p>
    <w:p w14:paraId="66282634">
      <w:pPr>
        <w:pStyle w:val="68"/>
        <w:ind w:left="0" w:firstLine="0"/>
        <w:outlineLvl w:val="0"/>
        <w:rPr>
          <w:rFonts w:ascii="宋体" w:hAnsi="宋体" w:eastAsia="宋体" w:cs="Times New Roman"/>
          <w:color w:val="auto"/>
          <w:sz w:val="21"/>
          <w:szCs w:val="21"/>
          <w:highlight w:val="none"/>
        </w:rPr>
      </w:pPr>
      <w:bookmarkStart w:id="400" w:name="_Toc26828"/>
      <w:bookmarkStart w:id="401" w:name="_Toc10343"/>
      <w:bookmarkStart w:id="402" w:name="_Toc2160"/>
      <w:bookmarkStart w:id="403" w:name="_Toc20553"/>
      <w:bookmarkStart w:id="404" w:name="_Toc7091"/>
      <w:bookmarkStart w:id="405" w:name="_Toc20529"/>
      <w:r>
        <w:rPr>
          <w:rFonts w:hint="eastAsia" w:ascii="宋体" w:hAnsi="宋体" w:eastAsia="宋体" w:cs="Times New Roman"/>
          <w:color w:val="auto"/>
          <w:sz w:val="21"/>
          <w:szCs w:val="21"/>
          <w:highlight w:val="none"/>
        </w:rPr>
        <w:t>7.3 中包候选人履约能力审查</w:t>
      </w:r>
      <w:bookmarkEnd w:id="400"/>
      <w:bookmarkEnd w:id="401"/>
      <w:bookmarkEnd w:id="402"/>
      <w:bookmarkEnd w:id="403"/>
      <w:bookmarkEnd w:id="404"/>
      <w:bookmarkEnd w:id="405"/>
      <w:r>
        <w:rPr>
          <w:rFonts w:hint="eastAsia" w:ascii="宋体" w:hAnsi="宋体" w:eastAsia="宋体" w:cs="Times New Roman"/>
          <w:color w:val="auto"/>
          <w:sz w:val="21"/>
          <w:szCs w:val="21"/>
          <w:highlight w:val="none"/>
        </w:rPr>
        <w:t xml:space="preserve"> </w:t>
      </w:r>
    </w:p>
    <w:p w14:paraId="6FB9807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中包候选人的经营、财务状况发生较大变化或存在违法行为，发包人认为可能影响其履约能力的，将在发出中包通知书前提请原评标委员会按照发包文件规定的标准和方法进行审查确认。 </w:t>
      </w:r>
    </w:p>
    <w:p w14:paraId="26D6C521">
      <w:pPr>
        <w:pStyle w:val="68"/>
        <w:ind w:left="0" w:firstLine="0"/>
        <w:outlineLvl w:val="0"/>
        <w:rPr>
          <w:rFonts w:ascii="宋体" w:hAnsi="宋体" w:eastAsia="宋体" w:cs="Times New Roman"/>
          <w:color w:val="auto"/>
          <w:sz w:val="21"/>
          <w:szCs w:val="21"/>
          <w:highlight w:val="none"/>
        </w:rPr>
      </w:pPr>
      <w:bookmarkStart w:id="406" w:name="_Toc16616"/>
      <w:bookmarkStart w:id="407" w:name="_Toc9948"/>
      <w:bookmarkStart w:id="408" w:name="_Toc1514"/>
      <w:bookmarkStart w:id="409" w:name="_Toc7299"/>
      <w:bookmarkStart w:id="410" w:name="_Toc18737"/>
      <w:bookmarkStart w:id="411" w:name="_Toc30459"/>
      <w:r>
        <w:rPr>
          <w:rFonts w:hint="eastAsia" w:ascii="宋体" w:hAnsi="宋体" w:eastAsia="宋体" w:cs="Times New Roman"/>
          <w:color w:val="auto"/>
          <w:sz w:val="21"/>
          <w:szCs w:val="21"/>
          <w:highlight w:val="none"/>
        </w:rPr>
        <w:t>7.4 定标</w:t>
      </w:r>
      <w:bookmarkEnd w:id="406"/>
      <w:bookmarkEnd w:id="407"/>
      <w:bookmarkEnd w:id="408"/>
      <w:bookmarkEnd w:id="409"/>
      <w:bookmarkEnd w:id="410"/>
      <w:bookmarkEnd w:id="411"/>
      <w:r>
        <w:rPr>
          <w:rFonts w:hint="eastAsia" w:ascii="宋体" w:hAnsi="宋体" w:eastAsia="宋体" w:cs="Times New Roman"/>
          <w:color w:val="auto"/>
          <w:sz w:val="21"/>
          <w:szCs w:val="21"/>
          <w:highlight w:val="none"/>
        </w:rPr>
        <w:t xml:space="preserve"> </w:t>
      </w:r>
    </w:p>
    <w:p w14:paraId="74583ADA">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发包人依法确定中包人。是否采用评定分离见竞包人须知前附表。</w:t>
      </w:r>
    </w:p>
    <w:p w14:paraId="68FB1409">
      <w:pPr>
        <w:pStyle w:val="68"/>
        <w:ind w:left="0" w:firstLine="0"/>
        <w:outlineLvl w:val="0"/>
        <w:rPr>
          <w:rFonts w:ascii="宋体" w:hAnsi="宋体" w:eastAsia="宋体" w:cs="Times New Roman"/>
          <w:color w:val="auto"/>
          <w:sz w:val="21"/>
          <w:szCs w:val="21"/>
          <w:highlight w:val="none"/>
        </w:rPr>
      </w:pPr>
      <w:bookmarkStart w:id="412" w:name="_Toc22689"/>
      <w:bookmarkStart w:id="413" w:name="_Toc6418"/>
      <w:bookmarkStart w:id="414" w:name="_Toc13319"/>
      <w:bookmarkStart w:id="415" w:name="_Toc14437"/>
      <w:bookmarkStart w:id="416" w:name="_Toc12473"/>
      <w:bookmarkStart w:id="417" w:name="_Toc29204"/>
      <w:r>
        <w:rPr>
          <w:rFonts w:hint="eastAsia" w:ascii="宋体" w:hAnsi="宋体" w:eastAsia="宋体" w:cs="Times New Roman"/>
          <w:color w:val="auto"/>
          <w:sz w:val="21"/>
          <w:szCs w:val="21"/>
          <w:highlight w:val="none"/>
        </w:rPr>
        <w:t>7.5 中包通知</w:t>
      </w:r>
      <w:bookmarkEnd w:id="412"/>
      <w:bookmarkEnd w:id="413"/>
      <w:bookmarkEnd w:id="414"/>
      <w:bookmarkEnd w:id="415"/>
      <w:bookmarkEnd w:id="416"/>
      <w:bookmarkEnd w:id="417"/>
      <w:r>
        <w:rPr>
          <w:rFonts w:hint="eastAsia" w:ascii="宋体" w:hAnsi="宋体" w:eastAsia="宋体" w:cs="Times New Roman"/>
          <w:color w:val="auto"/>
          <w:sz w:val="21"/>
          <w:szCs w:val="21"/>
          <w:highlight w:val="none"/>
        </w:rPr>
        <w:t xml:space="preserve"> </w:t>
      </w:r>
    </w:p>
    <w:p w14:paraId="3A9881A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在本章第3.3款规定的竞包有效期内，发包人应通过“交易平台”向中包人发出中包通知书，同时将中包结果通知未中包的竞包人。</w:t>
      </w:r>
    </w:p>
    <w:p w14:paraId="36B598FA">
      <w:pPr>
        <w:pStyle w:val="68"/>
        <w:ind w:left="0" w:firstLine="0"/>
        <w:outlineLvl w:val="0"/>
        <w:rPr>
          <w:rFonts w:ascii="宋体" w:hAnsi="宋体" w:eastAsia="宋体" w:cs="Times New Roman"/>
          <w:color w:val="auto"/>
          <w:sz w:val="21"/>
          <w:szCs w:val="21"/>
          <w:highlight w:val="none"/>
        </w:rPr>
      </w:pPr>
      <w:bookmarkStart w:id="418" w:name="_Toc19231"/>
      <w:bookmarkStart w:id="419" w:name="_Toc5424"/>
      <w:bookmarkStart w:id="420" w:name="_Toc28608"/>
      <w:bookmarkStart w:id="421" w:name="_Toc20094"/>
      <w:bookmarkStart w:id="422" w:name="_Toc8892"/>
      <w:bookmarkStart w:id="423" w:name="_Toc14191"/>
      <w:r>
        <w:rPr>
          <w:rFonts w:hint="eastAsia" w:ascii="宋体" w:hAnsi="宋体" w:eastAsia="宋体" w:cs="Times New Roman"/>
          <w:color w:val="auto"/>
          <w:sz w:val="21"/>
          <w:szCs w:val="21"/>
          <w:highlight w:val="none"/>
        </w:rPr>
        <w:t>7.6 中包结果公告</w:t>
      </w:r>
      <w:bookmarkEnd w:id="418"/>
      <w:bookmarkEnd w:id="419"/>
      <w:bookmarkEnd w:id="420"/>
      <w:bookmarkEnd w:id="421"/>
      <w:bookmarkEnd w:id="422"/>
      <w:bookmarkEnd w:id="423"/>
      <w:r>
        <w:rPr>
          <w:rFonts w:hint="eastAsia" w:ascii="宋体" w:hAnsi="宋体" w:eastAsia="宋体" w:cs="Times New Roman"/>
          <w:color w:val="auto"/>
          <w:sz w:val="21"/>
          <w:szCs w:val="21"/>
          <w:highlight w:val="none"/>
        </w:rPr>
        <w:t xml:space="preserve"> </w:t>
      </w:r>
    </w:p>
    <w:p w14:paraId="56EE539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发包人在确定中包人之日起3日内，按照竞包人须知前附表规定的公告媒介和期限公告中包结果，公告期不得少于3日。公告内容包括中包人名称、中包价。</w:t>
      </w:r>
    </w:p>
    <w:p w14:paraId="74AD3C08">
      <w:pPr>
        <w:pStyle w:val="68"/>
        <w:ind w:left="0" w:firstLine="0"/>
        <w:outlineLvl w:val="0"/>
        <w:rPr>
          <w:rFonts w:ascii="宋体" w:hAnsi="宋体" w:eastAsia="宋体" w:cs="Times New Roman"/>
          <w:color w:val="auto"/>
          <w:sz w:val="21"/>
          <w:szCs w:val="21"/>
          <w:highlight w:val="none"/>
        </w:rPr>
      </w:pPr>
      <w:bookmarkStart w:id="424" w:name="_Toc3513"/>
      <w:bookmarkStart w:id="425" w:name="_Toc31814"/>
      <w:bookmarkStart w:id="426" w:name="_Toc7661"/>
      <w:bookmarkStart w:id="427" w:name="_Toc1889"/>
      <w:bookmarkStart w:id="428" w:name="_Toc1605"/>
      <w:bookmarkStart w:id="429" w:name="_Toc881"/>
      <w:r>
        <w:rPr>
          <w:rFonts w:hint="eastAsia" w:ascii="宋体" w:hAnsi="宋体" w:eastAsia="宋体" w:cs="Times New Roman"/>
          <w:color w:val="auto"/>
          <w:sz w:val="21"/>
          <w:szCs w:val="21"/>
          <w:highlight w:val="none"/>
        </w:rPr>
        <w:t>7.7 技术成果经济补偿</w:t>
      </w:r>
      <w:bookmarkEnd w:id="424"/>
      <w:bookmarkEnd w:id="425"/>
      <w:bookmarkEnd w:id="426"/>
      <w:bookmarkEnd w:id="427"/>
      <w:bookmarkEnd w:id="428"/>
      <w:bookmarkEnd w:id="429"/>
      <w:r>
        <w:rPr>
          <w:rFonts w:hint="eastAsia" w:ascii="宋体" w:hAnsi="宋体" w:eastAsia="宋体" w:cs="Times New Roman"/>
          <w:color w:val="auto"/>
          <w:sz w:val="21"/>
          <w:szCs w:val="21"/>
          <w:highlight w:val="none"/>
        </w:rPr>
        <w:t xml:space="preserve"> </w:t>
      </w:r>
    </w:p>
    <w:p w14:paraId="7E273FE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对符合发包文件规定的未中包人的技术成果进行补偿的，发包人将按竞包人须知前附表规定的标准给予经济补偿，未中包人在竞包文件中声明放弃技术成果经济补偿费的除外。发包人将于中包通知书发出后30日内向未中包人支付技术成果经济补偿费。</w:t>
      </w:r>
    </w:p>
    <w:p w14:paraId="68969A5C">
      <w:pPr>
        <w:pStyle w:val="68"/>
        <w:ind w:left="0" w:firstLine="0"/>
        <w:outlineLvl w:val="0"/>
        <w:rPr>
          <w:rFonts w:ascii="宋体" w:hAnsi="宋体" w:eastAsia="宋体" w:cs="Times New Roman"/>
          <w:color w:val="auto"/>
          <w:sz w:val="21"/>
          <w:szCs w:val="21"/>
          <w:highlight w:val="none"/>
        </w:rPr>
      </w:pPr>
      <w:bookmarkStart w:id="430" w:name="_Toc19242"/>
      <w:bookmarkStart w:id="431" w:name="_Toc17673"/>
      <w:bookmarkStart w:id="432" w:name="_Toc1865"/>
      <w:bookmarkStart w:id="433" w:name="_Toc12006"/>
      <w:bookmarkStart w:id="434" w:name="_Toc10682"/>
      <w:bookmarkStart w:id="435" w:name="_Toc8150"/>
      <w:r>
        <w:rPr>
          <w:rFonts w:hint="eastAsia" w:ascii="宋体" w:hAnsi="宋体" w:eastAsia="宋体" w:cs="Times New Roman"/>
          <w:color w:val="auto"/>
          <w:sz w:val="21"/>
          <w:szCs w:val="21"/>
          <w:highlight w:val="none"/>
        </w:rPr>
        <w:t>7.8 履约保证金</w:t>
      </w:r>
      <w:bookmarkEnd w:id="430"/>
      <w:bookmarkEnd w:id="431"/>
      <w:bookmarkEnd w:id="432"/>
      <w:bookmarkEnd w:id="433"/>
      <w:bookmarkEnd w:id="434"/>
      <w:bookmarkEnd w:id="435"/>
      <w:r>
        <w:rPr>
          <w:rFonts w:hint="eastAsia" w:ascii="宋体" w:hAnsi="宋体" w:eastAsia="宋体" w:cs="Times New Roman"/>
          <w:color w:val="auto"/>
          <w:sz w:val="21"/>
          <w:szCs w:val="21"/>
          <w:highlight w:val="none"/>
        </w:rPr>
        <w:t xml:space="preserve"> </w:t>
      </w:r>
    </w:p>
    <w:p w14:paraId="5B0A527D">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7.8.1 在签订合同前，中包人应按竞包人须知前附表规定的形式、金额和发包文件第四章“合同条款及格式”规定的或事先经过发包人书面认可的履约保证金格式向发包人提交履约保证金。联合体中包的，其履约保证金以联合体各方或联合体中牵头人的名义提交。</w:t>
      </w:r>
    </w:p>
    <w:p w14:paraId="17BF87C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采用银行保函时，应由符合竞包人须知前附表规定级别的银行开具，所需的费用由中包人承担，中包人应保证银行保函有效。</w:t>
      </w:r>
    </w:p>
    <w:p w14:paraId="403404A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7.8.2 中包人不能按本章第7.8.1项要求提交履约保证金的，视为放弃中包，其竞包保证金不予退还，给发包人造成的损失超过竞包保证金数额的，中包人还应对超过部分予以赔偿。</w:t>
      </w:r>
    </w:p>
    <w:p w14:paraId="7F1807FB">
      <w:pPr>
        <w:pStyle w:val="68"/>
        <w:ind w:left="0" w:firstLine="0"/>
        <w:outlineLvl w:val="0"/>
        <w:rPr>
          <w:rFonts w:ascii="宋体" w:hAnsi="宋体" w:eastAsia="宋体" w:cs="Times New Roman"/>
          <w:color w:val="auto"/>
          <w:sz w:val="21"/>
          <w:szCs w:val="21"/>
          <w:highlight w:val="none"/>
        </w:rPr>
      </w:pPr>
      <w:bookmarkStart w:id="436" w:name="_Toc2411"/>
      <w:bookmarkStart w:id="437" w:name="_Toc22359"/>
      <w:bookmarkStart w:id="438" w:name="_Toc28226"/>
      <w:bookmarkStart w:id="439" w:name="_Toc14670"/>
      <w:bookmarkStart w:id="440" w:name="_Toc13263"/>
      <w:bookmarkStart w:id="441" w:name="_Toc17542"/>
      <w:r>
        <w:rPr>
          <w:rFonts w:hint="eastAsia" w:ascii="宋体" w:hAnsi="宋体" w:eastAsia="宋体" w:cs="Times New Roman"/>
          <w:color w:val="auto"/>
          <w:sz w:val="21"/>
          <w:szCs w:val="21"/>
          <w:highlight w:val="none"/>
        </w:rPr>
        <w:t>7.9 签订合同</w:t>
      </w:r>
      <w:bookmarkEnd w:id="436"/>
      <w:bookmarkEnd w:id="437"/>
      <w:bookmarkEnd w:id="438"/>
      <w:bookmarkEnd w:id="439"/>
      <w:bookmarkEnd w:id="440"/>
      <w:bookmarkEnd w:id="441"/>
      <w:r>
        <w:rPr>
          <w:rFonts w:hint="eastAsia" w:ascii="宋体" w:hAnsi="宋体" w:eastAsia="宋体" w:cs="Times New Roman"/>
          <w:color w:val="auto"/>
          <w:sz w:val="21"/>
          <w:szCs w:val="21"/>
          <w:highlight w:val="none"/>
        </w:rPr>
        <w:t xml:space="preserve"> </w:t>
      </w:r>
    </w:p>
    <w:p w14:paraId="2F3DC2E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7.9.1 发包人和中包人应当自中包通知书发出之日起30天内，根据发包文件和中包人的竞包文件订立书面合同。除涉及国家秘密、商业秘密和个人隐私外，发包人应在合同签订后15日内在省公共资源交易服务平台上公开合同订立信息，包括项目名称、合同双方名称、合同价款等要素。中包人无正当理由拒签合同，在签订合同时向发包人提出附加条件，或不按照发包文件要求提交履约保证金的，发包人取消其中包资格，其竞包保证金及银行同期存款利息不予退还；给发包人造成的损失超过竞包保证金数额的，中包人还应对超过部分予以赔偿，并由发包人将其行为上报省级交通运输主管部门，作为不良记录纳入“浙江省交通运输信用管理与服务系统”。</w:t>
      </w:r>
    </w:p>
    <w:p w14:paraId="0A383C7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7.9.2 发出中包通知书后，发包人无正当理由拒签合同，或在签订合同时向中包人提出附加条件的，发包人向中包人退还竞包保证金；给中包人造成损失的，还应赔偿损失。</w:t>
      </w:r>
    </w:p>
    <w:p w14:paraId="0DB6A84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发包人不得以压低设计费、增加工作量、缩短设计服务期限等作为中包的条件，不得与中包人再行订立背离合同实质性内容的其他协议。</w:t>
      </w:r>
    </w:p>
    <w:p w14:paraId="4369396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7.9.3 签约合同价的确定原则如下：</w:t>
      </w:r>
    </w:p>
    <w:p w14:paraId="57828DA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（1）按照评标办法规定对竞包报价进行修正后，若修正后的最终竞包报价小于开标时的竞包函大写金额报价，则签订合同时以修正后的最终竞包报价为准；</w:t>
      </w:r>
    </w:p>
    <w:p w14:paraId="4269C33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（2）按照评标办法规定对竞包报价进行修正后，若修正后的最终竞包报价大于开标时的竞包函大写金额报价，则签订合同时以开标时的竞包函大写金额报价为准，同时按比例修正相应子目的单价或合价。</w:t>
      </w:r>
    </w:p>
    <w:p w14:paraId="474E9E6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7.9.4 联合体中包的，联合体各方应共同与发包人签订合同，就中包项目向发包人承担连带责任。</w:t>
      </w:r>
    </w:p>
    <w:p w14:paraId="777CC34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7.9.5 发包人和中包人在签订合同协议书的同时，须按照本发包文件规定的格式和要求签订廉政合同，明确双方在廉政建设方面的权利和义务以及应承担的违约责任。</w:t>
      </w:r>
    </w:p>
    <w:p w14:paraId="33755CF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7.9.6 排名第一的中包候选人放弃中包、因不可抗力提出不能履行合同、不按照发包文件的要求提交履约保证金，或者被查实存在影响中包结果的违法行为等情形，不符合中包条件的，发包人可以按照评标委员会提出的中包候选人名单排序依次确定其他中包候选人为中包人。依次确定其他中包候选人与发包人预期差距较大，或者对发包人明显不利的，发包人可以重新发包。 </w:t>
      </w:r>
    </w:p>
    <w:p w14:paraId="07541C7D">
      <w:pPr>
        <w:pStyle w:val="62"/>
        <w:ind w:left="0" w:firstLine="0"/>
        <w:outlineLvl w:val="0"/>
        <w:rPr>
          <w:rFonts w:ascii="宋体" w:hAnsi="宋体" w:eastAsia="宋体" w:cs="Times New Roman"/>
          <w:color w:val="auto"/>
          <w:sz w:val="21"/>
          <w:szCs w:val="21"/>
          <w:highlight w:val="none"/>
        </w:rPr>
      </w:pPr>
      <w:bookmarkStart w:id="442" w:name="_Toc20373"/>
      <w:bookmarkStart w:id="443" w:name="_Toc32717"/>
      <w:bookmarkStart w:id="444" w:name="_Toc16797"/>
      <w:bookmarkStart w:id="445" w:name="_Toc28866"/>
      <w:bookmarkStart w:id="446" w:name="_Toc6365"/>
      <w:bookmarkStart w:id="447" w:name="_Toc26489"/>
      <w:r>
        <w:rPr>
          <w:rFonts w:hint="eastAsia" w:ascii="宋体" w:hAnsi="宋体" w:eastAsia="宋体" w:cs="Times New Roman"/>
          <w:color w:val="auto"/>
          <w:sz w:val="21"/>
          <w:szCs w:val="21"/>
          <w:highlight w:val="none"/>
        </w:rPr>
        <w:t>8. 纪律和监督</w:t>
      </w:r>
      <w:bookmarkEnd w:id="442"/>
      <w:bookmarkEnd w:id="443"/>
      <w:bookmarkEnd w:id="444"/>
      <w:bookmarkEnd w:id="445"/>
      <w:bookmarkEnd w:id="446"/>
      <w:bookmarkEnd w:id="447"/>
      <w:r>
        <w:rPr>
          <w:rFonts w:hint="eastAsia" w:ascii="宋体" w:hAnsi="宋体" w:eastAsia="宋体" w:cs="Times New Roman"/>
          <w:color w:val="auto"/>
          <w:sz w:val="21"/>
          <w:szCs w:val="21"/>
          <w:highlight w:val="none"/>
        </w:rPr>
        <w:t xml:space="preserve"> </w:t>
      </w:r>
    </w:p>
    <w:p w14:paraId="78995AB7">
      <w:pPr>
        <w:pStyle w:val="68"/>
        <w:ind w:left="0" w:firstLine="0"/>
        <w:outlineLvl w:val="0"/>
        <w:rPr>
          <w:rFonts w:ascii="宋体" w:hAnsi="宋体" w:eastAsia="宋体" w:cs="Times New Roman"/>
          <w:color w:val="auto"/>
          <w:sz w:val="21"/>
          <w:szCs w:val="21"/>
          <w:highlight w:val="none"/>
        </w:rPr>
      </w:pPr>
      <w:bookmarkStart w:id="448" w:name="_Toc28710"/>
      <w:bookmarkStart w:id="449" w:name="_Toc12489"/>
      <w:bookmarkStart w:id="450" w:name="_Toc6693"/>
      <w:bookmarkStart w:id="451" w:name="_Toc330"/>
      <w:bookmarkStart w:id="452" w:name="_Toc2079"/>
      <w:bookmarkStart w:id="453" w:name="_Toc13035"/>
      <w:r>
        <w:rPr>
          <w:rFonts w:hint="eastAsia" w:ascii="宋体" w:hAnsi="宋体" w:eastAsia="宋体" w:cs="Times New Roman"/>
          <w:color w:val="auto"/>
          <w:sz w:val="21"/>
          <w:szCs w:val="21"/>
          <w:highlight w:val="none"/>
        </w:rPr>
        <w:t>8.1 对发包人的纪律要求</w:t>
      </w:r>
      <w:bookmarkEnd w:id="448"/>
      <w:bookmarkEnd w:id="449"/>
      <w:bookmarkEnd w:id="450"/>
      <w:bookmarkEnd w:id="451"/>
      <w:bookmarkEnd w:id="452"/>
      <w:bookmarkEnd w:id="453"/>
      <w:r>
        <w:rPr>
          <w:rFonts w:hint="eastAsia" w:ascii="宋体" w:hAnsi="宋体" w:eastAsia="宋体" w:cs="Times New Roman"/>
          <w:color w:val="auto"/>
          <w:sz w:val="21"/>
          <w:szCs w:val="21"/>
          <w:highlight w:val="none"/>
        </w:rPr>
        <w:t xml:space="preserve"> </w:t>
      </w:r>
    </w:p>
    <w:p w14:paraId="21BBBBE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发包人不得泄露发包竞包活动中应保密的情况和资料，不得与竞包人串通损害国家利益、社会公共利益或他人合法权益。</w:t>
      </w:r>
    </w:p>
    <w:p w14:paraId="4FABEF4C">
      <w:pPr>
        <w:pStyle w:val="68"/>
        <w:ind w:left="0" w:firstLine="0"/>
        <w:outlineLvl w:val="0"/>
        <w:rPr>
          <w:rFonts w:ascii="宋体" w:hAnsi="宋体" w:eastAsia="宋体" w:cs="Times New Roman"/>
          <w:color w:val="auto"/>
          <w:sz w:val="21"/>
          <w:szCs w:val="21"/>
          <w:highlight w:val="none"/>
        </w:rPr>
      </w:pPr>
      <w:bookmarkStart w:id="454" w:name="_Toc5120"/>
      <w:bookmarkStart w:id="455" w:name="_Toc5335"/>
      <w:bookmarkStart w:id="456" w:name="_Toc12103"/>
      <w:bookmarkStart w:id="457" w:name="_Toc29254"/>
      <w:bookmarkStart w:id="458" w:name="_Toc8602"/>
      <w:bookmarkStart w:id="459" w:name="_Toc32056"/>
      <w:r>
        <w:rPr>
          <w:rFonts w:hint="eastAsia" w:ascii="宋体" w:hAnsi="宋体" w:eastAsia="宋体" w:cs="Times New Roman"/>
          <w:color w:val="auto"/>
          <w:sz w:val="21"/>
          <w:szCs w:val="21"/>
          <w:highlight w:val="none"/>
        </w:rPr>
        <w:t>8.2 对竞包人的纪律要求</w:t>
      </w:r>
      <w:bookmarkEnd w:id="454"/>
      <w:bookmarkEnd w:id="455"/>
      <w:bookmarkEnd w:id="456"/>
      <w:bookmarkEnd w:id="457"/>
      <w:bookmarkEnd w:id="458"/>
      <w:bookmarkEnd w:id="459"/>
      <w:r>
        <w:rPr>
          <w:rFonts w:hint="eastAsia" w:ascii="宋体" w:hAnsi="宋体" w:eastAsia="宋体" w:cs="Times New Roman"/>
          <w:color w:val="auto"/>
          <w:sz w:val="21"/>
          <w:szCs w:val="21"/>
          <w:highlight w:val="none"/>
        </w:rPr>
        <w:t xml:space="preserve"> </w:t>
      </w:r>
    </w:p>
    <w:p w14:paraId="14ECB39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竞包人不得相互串通竞包或与发包人串通竞包，不得向发包人或评标委员会成员行贿谋取中包，不得以他人名义竞包或以其他方式弄虚作假骗取中包；竞包人不得以任何方式干扰、影响评标工作。 </w:t>
      </w:r>
    </w:p>
    <w:p w14:paraId="498D9BB3">
      <w:pPr>
        <w:pStyle w:val="68"/>
        <w:ind w:left="0" w:firstLine="0"/>
        <w:outlineLvl w:val="0"/>
        <w:rPr>
          <w:rFonts w:ascii="宋体" w:hAnsi="宋体" w:eastAsia="宋体" w:cs="Times New Roman"/>
          <w:color w:val="auto"/>
          <w:sz w:val="21"/>
          <w:szCs w:val="21"/>
          <w:highlight w:val="none"/>
        </w:rPr>
      </w:pPr>
      <w:bookmarkStart w:id="460" w:name="_Toc1044"/>
      <w:bookmarkStart w:id="461" w:name="_Toc3408"/>
      <w:bookmarkStart w:id="462" w:name="_Toc30534"/>
      <w:bookmarkStart w:id="463" w:name="_Toc6036"/>
      <w:bookmarkStart w:id="464" w:name="_Toc5828"/>
      <w:bookmarkStart w:id="465" w:name="_Toc31297"/>
      <w:r>
        <w:rPr>
          <w:rFonts w:hint="eastAsia" w:ascii="宋体" w:hAnsi="宋体" w:eastAsia="宋体" w:cs="Times New Roman"/>
          <w:color w:val="auto"/>
          <w:sz w:val="21"/>
          <w:szCs w:val="21"/>
          <w:highlight w:val="none"/>
        </w:rPr>
        <w:t>8.3 对评标委员会成员的纪律要求</w:t>
      </w:r>
      <w:bookmarkEnd w:id="460"/>
      <w:bookmarkEnd w:id="461"/>
      <w:bookmarkEnd w:id="462"/>
      <w:bookmarkEnd w:id="463"/>
      <w:bookmarkEnd w:id="464"/>
      <w:bookmarkEnd w:id="465"/>
      <w:r>
        <w:rPr>
          <w:rFonts w:hint="eastAsia" w:ascii="宋体" w:hAnsi="宋体" w:eastAsia="宋体" w:cs="Times New Roman"/>
          <w:color w:val="auto"/>
          <w:sz w:val="21"/>
          <w:szCs w:val="21"/>
          <w:highlight w:val="none"/>
        </w:rPr>
        <w:t xml:space="preserve"> </w:t>
      </w:r>
    </w:p>
    <w:p w14:paraId="3277BF7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评标委员会成员不得收受他人的财物或其他好处，不得向他人透露对竞包文件的评审和比较、中包候选人的推荐情况以及评标有关的其他情况。在评标活动中，评标委员会成员应客观、公正地履行职责，遵守职业道德，不得擅离职守，影响评标程序正常进行，不得使用第三章“评标办法”没有规定的评审因素和标准进行评标。 </w:t>
      </w:r>
    </w:p>
    <w:p w14:paraId="165909D9">
      <w:pPr>
        <w:pStyle w:val="68"/>
        <w:ind w:left="0" w:firstLine="0"/>
        <w:outlineLvl w:val="0"/>
        <w:rPr>
          <w:rFonts w:ascii="宋体" w:hAnsi="宋体" w:eastAsia="宋体" w:cs="Times New Roman"/>
          <w:color w:val="auto"/>
          <w:sz w:val="21"/>
          <w:szCs w:val="21"/>
          <w:highlight w:val="none"/>
        </w:rPr>
      </w:pPr>
      <w:bookmarkStart w:id="466" w:name="_Toc20327"/>
      <w:bookmarkStart w:id="467" w:name="_Toc19542"/>
      <w:bookmarkStart w:id="468" w:name="_Toc2525"/>
      <w:bookmarkStart w:id="469" w:name="_Toc12558"/>
      <w:bookmarkStart w:id="470" w:name="_Toc26108"/>
      <w:bookmarkStart w:id="471" w:name="_Toc22770"/>
      <w:r>
        <w:rPr>
          <w:rFonts w:hint="eastAsia" w:ascii="宋体" w:hAnsi="宋体" w:eastAsia="宋体" w:cs="Times New Roman"/>
          <w:color w:val="auto"/>
          <w:sz w:val="21"/>
          <w:szCs w:val="21"/>
          <w:highlight w:val="none"/>
        </w:rPr>
        <w:t>8.4 对与评标活动有关的工作人员的纪律要求</w:t>
      </w:r>
      <w:bookmarkEnd w:id="466"/>
      <w:bookmarkEnd w:id="467"/>
      <w:bookmarkEnd w:id="468"/>
      <w:bookmarkEnd w:id="469"/>
      <w:bookmarkEnd w:id="470"/>
      <w:bookmarkEnd w:id="471"/>
      <w:r>
        <w:rPr>
          <w:rFonts w:hint="eastAsia" w:ascii="宋体" w:hAnsi="宋体" w:eastAsia="宋体" w:cs="Times New Roman"/>
          <w:color w:val="auto"/>
          <w:sz w:val="21"/>
          <w:szCs w:val="21"/>
          <w:highlight w:val="none"/>
        </w:rPr>
        <w:t xml:space="preserve"> </w:t>
      </w:r>
    </w:p>
    <w:p w14:paraId="3350667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 xml:space="preserve">与评标活动有关的工作人员不得收受他人的财物或其他好处，不得向他人透漏对竞包文件的评审和比较、中包候选人的推荐情况以及评标有关的其他情况。在评标活动中，与评标活动有关的工作人员不得擅离职守，影响评标程序正常进行。 </w:t>
      </w:r>
    </w:p>
    <w:p w14:paraId="3DFA9081">
      <w:pPr>
        <w:pStyle w:val="68"/>
        <w:ind w:left="0" w:firstLine="0"/>
        <w:outlineLvl w:val="0"/>
        <w:rPr>
          <w:rFonts w:ascii="宋体" w:hAnsi="宋体" w:eastAsia="宋体" w:cs="Times New Roman"/>
          <w:color w:val="auto"/>
          <w:sz w:val="21"/>
          <w:szCs w:val="21"/>
          <w:highlight w:val="none"/>
        </w:rPr>
      </w:pPr>
      <w:bookmarkStart w:id="472" w:name="_Toc32231"/>
      <w:bookmarkStart w:id="473" w:name="_Toc13270"/>
      <w:bookmarkStart w:id="474" w:name="_Toc11156"/>
      <w:bookmarkStart w:id="475" w:name="_Toc16942"/>
      <w:bookmarkStart w:id="476" w:name="_Toc18044"/>
      <w:bookmarkStart w:id="477" w:name="_Toc1373"/>
      <w:r>
        <w:rPr>
          <w:rFonts w:hint="eastAsia" w:ascii="宋体" w:hAnsi="宋体" w:eastAsia="宋体" w:cs="Times New Roman"/>
          <w:color w:val="auto"/>
          <w:sz w:val="21"/>
          <w:szCs w:val="21"/>
          <w:highlight w:val="none"/>
        </w:rPr>
        <w:t>8.5 投诉</w:t>
      </w:r>
      <w:bookmarkEnd w:id="472"/>
      <w:bookmarkEnd w:id="473"/>
      <w:bookmarkEnd w:id="474"/>
      <w:bookmarkEnd w:id="475"/>
      <w:bookmarkEnd w:id="476"/>
      <w:bookmarkEnd w:id="477"/>
      <w:r>
        <w:rPr>
          <w:rFonts w:hint="eastAsia" w:ascii="宋体" w:hAnsi="宋体" w:eastAsia="宋体" w:cs="Times New Roman"/>
          <w:color w:val="auto"/>
          <w:sz w:val="21"/>
          <w:szCs w:val="21"/>
          <w:highlight w:val="none"/>
        </w:rPr>
        <w:t xml:space="preserve"> </w:t>
      </w:r>
    </w:p>
    <w:p w14:paraId="601A587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8.5.1 竞包人或其他利害关系人认为发包竞包活动不符合法律、行政法规规定的，可以自知道或应当知道之日起10日内向有关行政监督部门投诉。投诉应有明确的请求和必要的证明材料。</w:t>
      </w:r>
    </w:p>
    <w:p w14:paraId="36AAE26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监督部门的联系方式见竞包人须知前附表。</w:t>
      </w:r>
    </w:p>
    <w:p w14:paraId="0B1C0C6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8.5.2 竞包人或其他利害关系人对发包文件、开标和评标结果提出投诉的，应按照本章第2.4款、 第5.3款和第7.2款的规定先向发包人提出异议。异议答复期间不计算在第8.5.1项规定的期限内。</w:t>
      </w:r>
    </w:p>
    <w:p w14:paraId="5237A9D2">
      <w:pPr>
        <w:pStyle w:val="62"/>
        <w:ind w:left="0" w:firstLine="0"/>
        <w:outlineLvl w:val="0"/>
        <w:rPr>
          <w:rFonts w:ascii="宋体" w:hAnsi="宋体" w:eastAsia="宋体" w:cs="Times New Roman"/>
          <w:color w:val="auto"/>
          <w:sz w:val="21"/>
          <w:szCs w:val="21"/>
          <w:highlight w:val="none"/>
        </w:rPr>
      </w:pPr>
      <w:bookmarkStart w:id="478" w:name="_Toc14358"/>
      <w:bookmarkStart w:id="479" w:name="_Toc1260"/>
      <w:bookmarkStart w:id="480" w:name="_Toc23012"/>
      <w:bookmarkStart w:id="481" w:name="_Toc16963"/>
      <w:bookmarkStart w:id="482" w:name="_Toc9397"/>
      <w:bookmarkStart w:id="483" w:name="_Toc21767"/>
      <w:r>
        <w:rPr>
          <w:rFonts w:hint="eastAsia" w:ascii="宋体" w:hAnsi="宋体" w:eastAsia="宋体" w:cs="Times New Roman"/>
          <w:color w:val="auto"/>
          <w:sz w:val="21"/>
          <w:szCs w:val="21"/>
          <w:highlight w:val="none"/>
        </w:rPr>
        <w:t>9.是否采用电子</w:t>
      </w:r>
      <w:bookmarkEnd w:id="478"/>
      <w:bookmarkEnd w:id="479"/>
      <w:bookmarkEnd w:id="480"/>
      <w:bookmarkEnd w:id="481"/>
      <w:bookmarkEnd w:id="482"/>
      <w:r>
        <w:rPr>
          <w:rFonts w:hint="eastAsia" w:ascii="宋体" w:hAnsi="宋体" w:eastAsia="宋体" w:cs="Times New Roman"/>
          <w:color w:val="auto"/>
          <w:sz w:val="21"/>
          <w:szCs w:val="21"/>
          <w:highlight w:val="none"/>
        </w:rPr>
        <w:t>发包竞包</w:t>
      </w:r>
      <w:bookmarkEnd w:id="483"/>
      <w:r>
        <w:rPr>
          <w:rFonts w:hint="eastAsia" w:ascii="宋体" w:hAnsi="宋体" w:eastAsia="宋体" w:cs="Times New Roman"/>
          <w:color w:val="auto"/>
          <w:sz w:val="21"/>
          <w:szCs w:val="21"/>
          <w:highlight w:val="none"/>
        </w:rPr>
        <w:t xml:space="preserve"> </w:t>
      </w:r>
    </w:p>
    <w:p w14:paraId="17BFB11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本发包项目是否采用电子发包竞包方式，见竞包人须知前附表。</w:t>
      </w:r>
    </w:p>
    <w:p w14:paraId="2CFBFA2E">
      <w:pPr>
        <w:pStyle w:val="62"/>
        <w:ind w:left="0" w:firstLine="0"/>
        <w:outlineLvl w:val="0"/>
        <w:rPr>
          <w:rFonts w:ascii="宋体" w:hAnsi="宋体" w:eastAsia="宋体" w:cs="Times New Roman"/>
          <w:color w:val="auto"/>
          <w:sz w:val="21"/>
          <w:szCs w:val="21"/>
          <w:highlight w:val="none"/>
        </w:rPr>
      </w:pPr>
      <w:bookmarkStart w:id="484" w:name="_Toc31517"/>
      <w:bookmarkStart w:id="485" w:name="_Toc23080"/>
      <w:bookmarkStart w:id="486" w:name="_Toc17974"/>
      <w:bookmarkStart w:id="487" w:name="_Toc13321"/>
      <w:bookmarkStart w:id="488" w:name="_Toc21186"/>
      <w:bookmarkStart w:id="489" w:name="_Toc28373"/>
      <w:r>
        <w:rPr>
          <w:rFonts w:hint="eastAsia" w:ascii="宋体" w:hAnsi="宋体" w:eastAsia="宋体" w:cs="Times New Roman"/>
          <w:color w:val="auto"/>
          <w:sz w:val="21"/>
          <w:szCs w:val="21"/>
          <w:highlight w:val="none"/>
        </w:rPr>
        <w:t>10需要补充的其他内容</w:t>
      </w:r>
      <w:bookmarkEnd w:id="484"/>
      <w:bookmarkEnd w:id="485"/>
      <w:bookmarkEnd w:id="486"/>
      <w:bookmarkEnd w:id="487"/>
      <w:bookmarkEnd w:id="488"/>
      <w:bookmarkEnd w:id="489"/>
      <w:r>
        <w:rPr>
          <w:rFonts w:hint="eastAsia" w:ascii="宋体" w:hAnsi="宋体" w:eastAsia="宋体" w:cs="Times New Roman"/>
          <w:color w:val="auto"/>
          <w:sz w:val="21"/>
          <w:szCs w:val="21"/>
          <w:highlight w:val="none"/>
        </w:rPr>
        <w:t xml:space="preserve"> </w:t>
      </w:r>
    </w:p>
    <w:p w14:paraId="04440A0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10.1自获取发包文件之日起，竞包人应自行关注“交易平台”，以便及时收到发包人发出的函件（发包文件的澄清、修改等），竞包文件递交后应保证其提供的联系方式（电话、传真、电子邮件）一直有效并应及时向发包人反馈信息，否则发包人不承担由此引起的一切后果。</w:t>
      </w:r>
    </w:p>
    <w:p w14:paraId="7427754A">
      <w:pPr>
        <w:pStyle w:val="14"/>
        <w:spacing w:line="400" w:lineRule="exact"/>
        <w:ind w:left="1106" w:leftChars="200"/>
        <w:rPr>
          <w:rFonts w:ascii="宋体" w:hAnsi="宋体"/>
          <w:color w:val="auto"/>
          <w:szCs w:val="21"/>
          <w:highlight w:val="none"/>
        </w:rPr>
      </w:pPr>
      <w:r>
        <w:rPr>
          <w:rFonts w:hint="eastAsia" w:ascii="宋体" w:hAnsi="宋体"/>
          <w:color w:val="auto"/>
          <w:szCs w:val="21"/>
          <w:highlight w:val="none"/>
        </w:rPr>
        <w:t>需要补充的其他内容：见“竞包人须知前附表”。</w:t>
      </w:r>
    </w:p>
    <w:p w14:paraId="131924C4">
      <w:pPr>
        <w:pStyle w:val="68"/>
        <w:outlineLvl w:val="1"/>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br w:type="page"/>
      </w:r>
      <w:bookmarkStart w:id="490" w:name="_Toc289577707"/>
      <w:bookmarkStart w:id="491" w:name="_Toc11178"/>
      <w:bookmarkStart w:id="492" w:name="_Toc12395"/>
      <w:bookmarkStart w:id="493" w:name="_Toc2562"/>
      <w:bookmarkStart w:id="494" w:name="_Toc25675"/>
      <w:bookmarkStart w:id="495" w:name="_Toc18743"/>
      <w:bookmarkStart w:id="496" w:name="_Toc1024"/>
      <w:r>
        <w:rPr>
          <w:rFonts w:hint="eastAsia" w:ascii="宋体" w:hAnsi="宋体" w:eastAsia="宋体" w:cs="Times New Roman"/>
          <w:color w:val="auto"/>
          <w:sz w:val="21"/>
          <w:szCs w:val="21"/>
          <w:highlight w:val="none"/>
        </w:rPr>
        <w:t>附件</w:t>
      </w:r>
      <w:bookmarkEnd w:id="490"/>
      <w:r>
        <w:rPr>
          <w:rFonts w:hint="eastAsia" w:ascii="宋体" w:hAnsi="宋体" w:eastAsia="宋体" w:cs="Times New Roman"/>
          <w:color w:val="auto"/>
          <w:sz w:val="21"/>
          <w:szCs w:val="21"/>
          <w:highlight w:val="none"/>
        </w:rPr>
        <w:t>：设计原始资料</w:t>
      </w:r>
      <w:bookmarkEnd w:id="491"/>
      <w:bookmarkEnd w:id="492"/>
      <w:bookmarkEnd w:id="493"/>
      <w:bookmarkEnd w:id="494"/>
      <w:bookmarkEnd w:id="495"/>
      <w:bookmarkEnd w:id="496"/>
    </w:p>
    <w:p w14:paraId="67233675">
      <w:pPr>
        <w:pStyle w:val="14"/>
        <w:spacing w:line="400" w:lineRule="exact"/>
        <w:rPr>
          <w:rFonts w:ascii="宋体" w:hAnsi="宋体"/>
          <w:color w:val="auto"/>
          <w:szCs w:val="21"/>
          <w:highlight w:val="none"/>
        </w:rPr>
      </w:pPr>
    </w:p>
    <w:p w14:paraId="19126963">
      <w:pPr>
        <w:pStyle w:val="14"/>
        <w:spacing w:line="400" w:lineRule="exact"/>
        <w:jc w:val="center"/>
        <w:rPr>
          <w:rFonts w:ascii="宋体" w:hAnsi="宋体"/>
          <w:color w:val="auto"/>
          <w:szCs w:val="21"/>
          <w:highlight w:val="none"/>
        </w:rPr>
      </w:pPr>
      <w:r>
        <w:rPr>
          <w:rFonts w:hint="eastAsia" w:ascii="宋体" w:hAnsi="宋体"/>
          <w:color w:val="auto"/>
          <w:szCs w:val="21"/>
          <w:highlight w:val="none"/>
        </w:rPr>
        <w:t>设计原始资料</w:t>
      </w:r>
    </w:p>
    <w:p w14:paraId="530A7161">
      <w:pPr>
        <w:pStyle w:val="14"/>
        <w:spacing w:line="400" w:lineRule="exact"/>
        <w:rPr>
          <w:rFonts w:ascii="宋体" w:hAnsi="宋体"/>
          <w:color w:val="auto"/>
          <w:szCs w:val="21"/>
          <w:highlight w:val="none"/>
        </w:rPr>
      </w:pPr>
    </w:p>
    <w:p w14:paraId="283BD7C1">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一、发包人向各竞包人提供下列原始文件（如有）：</w:t>
      </w:r>
    </w:p>
    <w:p w14:paraId="41D3A99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1.前一阶段研究或设计的成果文件及相应的批件（复制件）各一份；</w:t>
      </w:r>
    </w:p>
    <w:p w14:paraId="1C4C7DBF">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2.相关区域路网现状及规划（包括道路及交通工程设施现状及规划）；</w:t>
      </w:r>
    </w:p>
    <w:p w14:paraId="4264115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3.发包项目位置示意图。</w:t>
      </w:r>
    </w:p>
    <w:p w14:paraId="4FBC03F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二、下述资料由竞包人依据设计需要自行搜集</w:t>
      </w:r>
    </w:p>
    <w:p w14:paraId="3BDF1FF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公路工程（不含交通工程）设计：</w:t>
      </w:r>
    </w:p>
    <w:p w14:paraId="070560EE">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竞包人应根据实际需要，自行搜集或购买全部地形图、地质图、规划图及所涉及的其他图纸或资料，自费进行工程测量、工程、研究试验及有关协调（包括签订协议）、调查和资料搜集等工作。</w:t>
      </w:r>
    </w:p>
    <w:p w14:paraId="2176274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公路工程（交通工程）设计：</w:t>
      </w:r>
    </w:p>
    <w:p w14:paraId="34D5D869">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1.相关路网交通工程设施的配置资料（包括通信、监控、收费、供配电、照明等设施）。</w:t>
      </w:r>
    </w:p>
    <w:p w14:paraId="2B153EF6">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2.沿线供电资料。</w:t>
      </w:r>
    </w:p>
    <w:p w14:paraId="67158D84">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3.沿线管线资料。</w:t>
      </w:r>
    </w:p>
    <w:p w14:paraId="3781929B">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4.沿线气象、环境、人文景观的有关资料。</w:t>
      </w:r>
    </w:p>
    <w:p w14:paraId="6D020413">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5.相关路网的管理运营体制资料。</w:t>
      </w:r>
    </w:p>
    <w:p w14:paraId="67521682">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6.相关路网服务设施设置情况的资料。</w:t>
      </w:r>
    </w:p>
    <w:p w14:paraId="606CC3B8">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7.与交通工程相关的规划资料。</w:t>
      </w:r>
    </w:p>
    <w:p w14:paraId="0A439C05">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br w:type="page"/>
      </w:r>
      <w:bookmarkStart w:id="497" w:name="_Toc152042358"/>
      <w:bookmarkStart w:id="498" w:name="_Toc179632599"/>
      <w:bookmarkStart w:id="499" w:name="_Toc152045581"/>
      <w:bookmarkStart w:id="500" w:name="_Toc144974548"/>
    </w:p>
    <w:p w14:paraId="6CC1983B">
      <w:pPr>
        <w:pStyle w:val="68"/>
        <w:outlineLvl w:val="1"/>
        <w:rPr>
          <w:rFonts w:ascii="宋体" w:hAnsi="宋体" w:eastAsia="宋体" w:cs="Times New Roman"/>
          <w:color w:val="auto"/>
          <w:sz w:val="21"/>
          <w:szCs w:val="21"/>
          <w:highlight w:val="none"/>
        </w:rPr>
      </w:pPr>
      <w:bookmarkStart w:id="501" w:name="_Toc15964"/>
      <w:bookmarkStart w:id="502" w:name="_Toc28906"/>
      <w:bookmarkStart w:id="503" w:name="_Toc2650"/>
      <w:bookmarkStart w:id="504" w:name="_Toc8399"/>
      <w:bookmarkStart w:id="505" w:name="_Toc2099"/>
      <w:bookmarkStart w:id="506" w:name="_Toc323"/>
      <w:r>
        <w:rPr>
          <w:rFonts w:hint="eastAsia" w:ascii="宋体" w:hAnsi="宋体" w:eastAsia="宋体" w:cs="Times New Roman"/>
          <w:color w:val="auto"/>
          <w:sz w:val="21"/>
          <w:szCs w:val="21"/>
          <w:highlight w:val="none"/>
        </w:rPr>
        <w:t>附表一：</w:t>
      </w:r>
      <w:bookmarkEnd w:id="497"/>
      <w:bookmarkEnd w:id="498"/>
      <w:bookmarkEnd w:id="499"/>
      <w:bookmarkEnd w:id="500"/>
      <w:r>
        <w:rPr>
          <w:rFonts w:hint="eastAsia" w:ascii="宋体" w:hAnsi="宋体" w:eastAsia="宋体" w:cs="Times New Roman"/>
          <w:color w:val="auto"/>
          <w:sz w:val="21"/>
          <w:szCs w:val="21"/>
          <w:highlight w:val="none"/>
        </w:rPr>
        <w:t>开标记录表</w:t>
      </w:r>
      <w:r>
        <w:rPr>
          <w:rFonts w:hint="eastAsia" w:ascii="宋体" w:hAnsi="宋体" w:eastAsia="宋体" w:cs="Times New Roman"/>
          <w:color w:val="auto"/>
          <w:sz w:val="21"/>
          <w:szCs w:val="21"/>
          <w:highlight w:val="none"/>
        </w:rPr>
        <w:footnoteReference w:id="0"/>
      </w:r>
      <w:bookmarkEnd w:id="501"/>
      <w:bookmarkEnd w:id="502"/>
      <w:bookmarkEnd w:id="503"/>
      <w:bookmarkEnd w:id="504"/>
      <w:bookmarkEnd w:id="505"/>
      <w:bookmarkEnd w:id="506"/>
    </w:p>
    <w:p w14:paraId="56176607">
      <w:pPr>
        <w:pStyle w:val="14"/>
        <w:spacing w:line="400" w:lineRule="exact"/>
        <w:rPr>
          <w:rFonts w:ascii="宋体" w:hAnsi="宋体"/>
          <w:color w:val="auto"/>
          <w:szCs w:val="21"/>
          <w:highlight w:val="none"/>
        </w:rPr>
      </w:pPr>
      <w:r>
        <w:rPr>
          <w:rFonts w:hint="eastAsia" w:ascii="宋体" w:hAnsi="宋体"/>
          <w:color w:val="auto"/>
          <w:szCs w:val="21"/>
          <w:highlight w:val="none"/>
        </w:rPr>
        <w:t xml:space="preserve">              </w:t>
      </w:r>
    </w:p>
    <w:p w14:paraId="2D830176">
      <w:pPr>
        <w:pStyle w:val="14"/>
        <w:spacing w:line="400" w:lineRule="exact"/>
        <w:jc w:val="center"/>
        <w:rPr>
          <w:rFonts w:ascii="宋体" w:hAnsi="宋体"/>
          <w:color w:val="auto"/>
          <w:szCs w:val="21"/>
          <w:highlight w:val="none"/>
        </w:rPr>
      </w:pPr>
      <w:r>
        <w:rPr>
          <w:rFonts w:hint="eastAsia" w:ascii="宋体" w:hAnsi="宋体"/>
          <w:color w:val="auto"/>
          <w:szCs w:val="21"/>
          <w:highlight w:val="none"/>
        </w:rPr>
        <w:t>（项目名称）   标段设计第一个信封（商务及技术文件）</w:t>
      </w:r>
    </w:p>
    <w:p w14:paraId="1DA1E628">
      <w:pPr>
        <w:pStyle w:val="14"/>
        <w:spacing w:line="400" w:lineRule="exact"/>
        <w:jc w:val="center"/>
        <w:rPr>
          <w:rFonts w:ascii="宋体" w:hAnsi="宋体"/>
          <w:color w:val="auto"/>
          <w:szCs w:val="21"/>
          <w:highlight w:val="none"/>
        </w:rPr>
      </w:pPr>
      <w:r>
        <w:rPr>
          <w:rFonts w:hint="eastAsia" w:ascii="宋体" w:hAnsi="宋体"/>
          <w:color w:val="auto"/>
          <w:szCs w:val="21"/>
          <w:highlight w:val="none"/>
        </w:rPr>
        <w:t>开标记录表</w:t>
      </w:r>
    </w:p>
    <w:p w14:paraId="44FD7F39">
      <w:pPr>
        <w:pStyle w:val="14"/>
        <w:spacing w:line="400" w:lineRule="exact"/>
        <w:rPr>
          <w:rFonts w:ascii="宋体" w:hAnsi="宋体"/>
          <w:color w:val="auto"/>
          <w:szCs w:val="21"/>
          <w:highlight w:val="none"/>
        </w:rPr>
      </w:pPr>
    </w:p>
    <w:p w14:paraId="5A8D2283">
      <w:pPr>
        <w:pStyle w:val="14"/>
        <w:spacing w:line="400" w:lineRule="exact"/>
        <w:jc w:val="right"/>
        <w:rPr>
          <w:rFonts w:ascii="宋体" w:hAnsi="宋体"/>
          <w:color w:val="auto"/>
          <w:szCs w:val="21"/>
          <w:highlight w:val="none"/>
        </w:rPr>
      </w:pPr>
      <w:r>
        <w:rPr>
          <w:rFonts w:hint="eastAsia" w:ascii="宋体" w:hAnsi="宋体"/>
          <w:color w:val="auto"/>
          <w:szCs w:val="21"/>
          <w:highlight w:val="none"/>
        </w:rPr>
        <w:t>开标时间：    年    月    日    时    分</w:t>
      </w:r>
    </w:p>
    <w:tbl>
      <w:tblPr>
        <w:tblStyle w:val="34"/>
        <w:tblW w:w="9765" w:type="dxa"/>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5"/>
        <w:gridCol w:w="2264"/>
        <w:gridCol w:w="1314"/>
        <w:gridCol w:w="1314"/>
        <w:gridCol w:w="1338"/>
        <w:gridCol w:w="1301"/>
        <w:gridCol w:w="1379"/>
      </w:tblGrid>
      <w:tr w14:paraId="1A0998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70" w:hRule="atLeast"/>
        </w:trPr>
        <w:tc>
          <w:tcPr>
            <w:tcW w:w="855" w:type="dxa"/>
            <w:vAlign w:val="center"/>
          </w:tcPr>
          <w:p w14:paraId="206FC9F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序号</w:t>
            </w:r>
          </w:p>
        </w:tc>
        <w:tc>
          <w:tcPr>
            <w:tcW w:w="2264" w:type="dxa"/>
            <w:vAlign w:val="center"/>
          </w:tcPr>
          <w:p w14:paraId="422258F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w:t>
            </w:r>
          </w:p>
        </w:tc>
        <w:tc>
          <w:tcPr>
            <w:tcW w:w="1314" w:type="dxa"/>
            <w:vAlign w:val="center"/>
          </w:tcPr>
          <w:p w14:paraId="76E15524">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项目负责人</w:t>
            </w:r>
          </w:p>
        </w:tc>
        <w:tc>
          <w:tcPr>
            <w:tcW w:w="1314" w:type="dxa"/>
            <w:vAlign w:val="center"/>
          </w:tcPr>
          <w:p w14:paraId="0345303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设计服务期限</w:t>
            </w:r>
          </w:p>
        </w:tc>
        <w:tc>
          <w:tcPr>
            <w:tcW w:w="1338" w:type="dxa"/>
            <w:vAlign w:val="center"/>
          </w:tcPr>
          <w:p w14:paraId="215B4EA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质量要求</w:t>
            </w:r>
          </w:p>
        </w:tc>
        <w:tc>
          <w:tcPr>
            <w:tcW w:w="1301" w:type="dxa"/>
            <w:vAlign w:val="center"/>
          </w:tcPr>
          <w:p w14:paraId="54FBFBD5">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安全目标</w:t>
            </w:r>
          </w:p>
        </w:tc>
        <w:tc>
          <w:tcPr>
            <w:tcW w:w="1379" w:type="dxa"/>
            <w:vAlign w:val="center"/>
          </w:tcPr>
          <w:p w14:paraId="3D915544">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备注</w:t>
            </w:r>
          </w:p>
        </w:tc>
      </w:tr>
      <w:tr w14:paraId="35C4A2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4F043117">
            <w:pPr>
              <w:pStyle w:val="14"/>
              <w:spacing w:line="500" w:lineRule="exact"/>
              <w:jc w:val="left"/>
              <w:rPr>
                <w:rFonts w:ascii="宋体" w:hAnsi="宋体"/>
                <w:color w:val="auto"/>
                <w:szCs w:val="21"/>
                <w:highlight w:val="none"/>
              </w:rPr>
            </w:pPr>
          </w:p>
        </w:tc>
        <w:tc>
          <w:tcPr>
            <w:tcW w:w="2264" w:type="dxa"/>
            <w:vAlign w:val="center"/>
          </w:tcPr>
          <w:p w14:paraId="2343AA3F">
            <w:pPr>
              <w:pStyle w:val="14"/>
              <w:spacing w:line="500" w:lineRule="exact"/>
              <w:jc w:val="left"/>
              <w:rPr>
                <w:rFonts w:ascii="宋体" w:hAnsi="宋体"/>
                <w:color w:val="auto"/>
                <w:szCs w:val="21"/>
                <w:highlight w:val="none"/>
              </w:rPr>
            </w:pPr>
          </w:p>
        </w:tc>
        <w:tc>
          <w:tcPr>
            <w:tcW w:w="1314" w:type="dxa"/>
            <w:vAlign w:val="center"/>
          </w:tcPr>
          <w:p w14:paraId="3BF333C3">
            <w:pPr>
              <w:pStyle w:val="14"/>
              <w:spacing w:line="500" w:lineRule="exact"/>
              <w:jc w:val="left"/>
              <w:rPr>
                <w:rFonts w:ascii="宋体" w:hAnsi="宋体"/>
                <w:color w:val="auto"/>
                <w:szCs w:val="21"/>
                <w:highlight w:val="none"/>
              </w:rPr>
            </w:pPr>
          </w:p>
        </w:tc>
        <w:tc>
          <w:tcPr>
            <w:tcW w:w="1314" w:type="dxa"/>
            <w:vAlign w:val="center"/>
          </w:tcPr>
          <w:p w14:paraId="32B71C8A">
            <w:pPr>
              <w:pStyle w:val="14"/>
              <w:spacing w:line="500" w:lineRule="exact"/>
              <w:jc w:val="left"/>
              <w:rPr>
                <w:rFonts w:ascii="宋体" w:hAnsi="宋体"/>
                <w:color w:val="auto"/>
                <w:szCs w:val="21"/>
                <w:highlight w:val="none"/>
              </w:rPr>
            </w:pPr>
          </w:p>
        </w:tc>
        <w:tc>
          <w:tcPr>
            <w:tcW w:w="1338" w:type="dxa"/>
            <w:vAlign w:val="center"/>
          </w:tcPr>
          <w:p w14:paraId="4F038E6A">
            <w:pPr>
              <w:pStyle w:val="14"/>
              <w:spacing w:line="500" w:lineRule="exact"/>
              <w:jc w:val="left"/>
              <w:rPr>
                <w:rFonts w:ascii="宋体" w:hAnsi="宋体"/>
                <w:color w:val="auto"/>
                <w:szCs w:val="21"/>
                <w:highlight w:val="none"/>
              </w:rPr>
            </w:pPr>
          </w:p>
        </w:tc>
        <w:tc>
          <w:tcPr>
            <w:tcW w:w="1301" w:type="dxa"/>
            <w:vAlign w:val="center"/>
          </w:tcPr>
          <w:p w14:paraId="2691B705">
            <w:pPr>
              <w:pStyle w:val="14"/>
              <w:spacing w:line="500" w:lineRule="exact"/>
              <w:jc w:val="left"/>
              <w:rPr>
                <w:rFonts w:ascii="宋体" w:hAnsi="宋体"/>
                <w:color w:val="auto"/>
                <w:szCs w:val="21"/>
                <w:highlight w:val="none"/>
              </w:rPr>
            </w:pPr>
          </w:p>
        </w:tc>
        <w:tc>
          <w:tcPr>
            <w:tcW w:w="1379" w:type="dxa"/>
            <w:vAlign w:val="center"/>
          </w:tcPr>
          <w:p w14:paraId="7683440D">
            <w:pPr>
              <w:pStyle w:val="14"/>
              <w:spacing w:line="500" w:lineRule="exact"/>
              <w:jc w:val="left"/>
              <w:rPr>
                <w:rFonts w:ascii="宋体" w:hAnsi="宋体"/>
                <w:color w:val="auto"/>
                <w:szCs w:val="21"/>
                <w:highlight w:val="none"/>
              </w:rPr>
            </w:pPr>
          </w:p>
        </w:tc>
      </w:tr>
      <w:tr w14:paraId="3620D7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43FA06A8">
            <w:pPr>
              <w:pStyle w:val="14"/>
              <w:spacing w:line="500" w:lineRule="exact"/>
              <w:jc w:val="left"/>
              <w:rPr>
                <w:rFonts w:ascii="宋体" w:hAnsi="宋体"/>
                <w:color w:val="auto"/>
                <w:szCs w:val="21"/>
                <w:highlight w:val="none"/>
              </w:rPr>
            </w:pPr>
          </w:p>
        </w:tc>
        <w:tc>
          <w:tcPr>
            <w:tcW w:w="2264" w:type="dxa"/>
            <w:vAlign w:val="center"/>
          </w:tcPr>
          <w:p w14:paraId="238CACE7">
            <w:pPr>
              <w:pStyle w:val="14"/>
              <w:spacing w:line="500" w:lineRule="exact"/>
              <w:jc w:val="left"/>
              <w:rPr>
                <w:rFonts w:ascii="宋体" w:hAnsi="宋体"/>
                <w:color w:val="auto"/>
                <w:szCs w:val="21"/>
                <w:highlight w:val="none"/>
              </w:rPr>
            </w:pPr>
          </w:p>
        </w:tc>
        <w:tc>
          <w:tcPr>
            <w:tcW w:w="1314" w:type="dxa"/>
            <w:vAlign w:val="center"/>
          </w:tcPr>
          <w:p w14:paraId="4D6518AC">
            <w:pPr>
              <w:pStyle w:val="14"/>
              <w:spacing w:line="500" w:lineRule="exact"/>
              <w:jc w:val="left"/>
              <w:rPr>
                <w:rFonts w:ascii="宋体" w:hAnsi="宋体"/>
                <w:color w:val="auto"/>
                <w:szCs w:val="21"/>
                <w:highlight w:val="none"/>
              </w:rPr>
            </w:pPr>
          </w:p>
        </w:tc>
        <w:tc>
          <w:tcPr>
            <w:tcW w:w="1314" w:type="dxa"/>
            <w:vAlign w:val="center"/>
          </w:tcPr>
          <w:p w14:paraId="416B32D8">
            <w:pPr>
              <w:pStyle w:val="14"/>
              <w:spacing w:line="500" w:lineRule="exact"/>
              <w:jc w:val="left"/>
              <w:rPr>
                <w:rFonts w:ascii="宋体" w:hAnsi="宋体"/>
                <w:color w:val="auto"/>
                <w:szCs w:val="21"/>
                <w:highlight w:val="none"/>
              </w:rPr>
            </w:pPr>
          </w:p>
        </w:tc>
        <w:tc>
          <w:tcPr>
            <w:tcW w:w="1338" w:type="dxa"/>
            <w:vAlign w:val="center"/>
          </w:tcPr>
          <w:p w14:paraId="68071034">
            <w:pPr>
              <w:pStyle w:val="14"/>
              <w:spacing w:line="500" w:lineRule="exact"/>
              <w:jc w:val="left"/>
              <w:rPr>
                <w:rFonts w:ascii="宋体" w:hAnsi="宋体"/>
                <w:color w:val="auto"/>
                <w:szCs w:val="21"/>
                <w:highlight w:val="none"/>
              </w:rPr>
            </w:pPr>
          </w:p>
        </w:tc>
        <w:tc>
          <w:tcPr>
            <w:tcW w:w="1301" w:type="dxa"/>
            <w:vAlign w:val="center"/>
          </w:tcPr>
          <w:p w14:paraId="6BB55C11">
            <w:pPr>
              <w:pStyle w:val="14"/>
              <w:spacing w:line="500" w:lineRule="exact"/>
              <w:jc w:val="left"/>
              <w:rPr>
                <w:rFonts w:ascii="宋体" w:hAnsi="宋体"/>
                <w:color w:val="auto"/>
                <w:szCs w:val="21"/>
                <w:highlight w:val="none"/>
              </w:rPr>
            </w:pPr>
          </w:p>
        </w:tc>
        <w:tc>
          <w:tcPr>
            <w:tcW w:w="1379" w:type="dxa"/>
            <w:vAlign w:val="center"/>
          </w:tcPr>
          <w:p w14:paraId="0B89F900">
            <w:pPr>
              <w:pStyle w:val="14"/>
              <w:spacing w:line="500" w:lineRule="exact"/>
              <w:jc w:val="left"/>
              <w:rPr>
                <w:rFonts w:ascii="宋体" w:hAnsi="宋体"/>
                <w:color w:val="auto"/>
                <w:szCs w:val="21"/>
                <w:highlight w:val="none"/>
              </w:rPr>
            </w:pPr>
          </w:p>
        </w:tc>
      </w:tr>
      <w:tr w14:paraId="5704FA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0A3165D4">
            <w:pPr>
              <w:pStyle w:val="14"/>
              <w:spacing w:line="500" w:lineRule="exact"/>
              <w:jc w:val="left"/>
              <w:rPr>
                <w:rFonts w:ascii="宋体" w:hAnsi="宋体"/>
                <w:color w:val="auto"/>
                <w:szCs w:val="21"/>
                <w:highlight w:val="none"/>
              </w:rPr>
            </w:pPr>
          </w:p>
        </w:tc>
        <w:tc>
          <w:tcPr>
            <w:tcW w:w="2264" w:type="dxa"/>
            <w:vAlign w:val="center"/>
          </w:tcPr>
          <w:p w14:paraId="64651F7E">
            <w:pPr>
              <w:pStyle w:val="14"/>
              <w:spacing w:line="500" w:lineRule="exact"/>
              <w:jc w:val="left"/>
              <w:rPr>
                <w:rFonts w:ascii="宋体" w:hAnsi="宋体"/>
                <w:color w:val="auto"/>
                <w:szCs w:val="21"/>
                <w:highlight w:val="none"/>
              </w:rPr>
            </w:pPr>
          </w:p>
        </w:tc>
        <w:tc>
          <w:tcPr>
            <w:tcW w:w="1314" w:type="dxa"/>
            <w:vAlign w:val="center"/>
          </w:tcPr>
          <w:p w14:paraId="56BF4CA3">
            <w:pPr>
              <w:pStyle w:val="14"/>
              <w:spacing w:line="500" w:lineRule="exact"/>
              <w:jc w:val="left"/>
              <w:rPr>
                <w:rFonts w:ascii="宋体" w:hAnsi="宋体"/>
                <w:color w:val="auto"/>
                <w:szCs w:val="21"/>
                <w:highlight w:val="none"/>
              </w:rPr>
            </w:pPr>
          </w:p>
        </w:tc>
        <w:tc>
          <w:tcPr>
            <w:tcW w:w="1314" w:type="dxa"/>
            <w:vAlign w:val="center"/>
          </w:tcPr>
          <w:p w14:paraId="7542C6A2">
            <w:pPr>
              <w:pStyle w:val="14"/>
              <w:spacing w:line="500" w:lineRule="exact"/>
              <w:jc w:val="left"/>
              <w:rPr>
                <w:rFonts w:ascii="宋体" w:hAnsi="宋体"/>
                <w:color w:val="auto"/>
                <w:szCs w:val="21"/>
                <w:highlight w:val="none"/>
              </w:rPr>
            </w:pPr>
          </w:p>
        </w:tc>
        <w:tc>
          <w:tcPr>
            <w:tcW w:w="1338" w:type="dxa"/>
            <w:vAlign w:val="center"/>
          </w:tcPr>
          <w:p w14:paraId="752F3E89">
            <w:pPr>
              <w:pStyle w:val="14"/>
              <w:spacing w:line="500" w:lineRule="exact"/>
              <w:jc w:val="left"/>
              <w:rPr>
                <w:rFonts w:ascii="宋体" w:hAnsi="宋体"/>
                <w:color w:val="auto"/>
                <w:szCs w:val="21"/>
                <w:highlight w:val="none"/>
              </w:rPr>
            </w:pPr>
          </w:p>
        </w:tc>
        <w:tc>
          <w:tcPr>
            <w:tcW w:w="1301" w:type="dxa"/>
            <w:vAlign w:val="center"/>
          </w:tcPr>
          <w:p w14:paraId="177A5277">
            <w:pPr>
              <w:pStyle w:val="14"/>
              <w:spacing w:line="500" w:lineRule="exact"/>
              <w:jc w:val="left"/>
              <w:rPr>
                <w:rFonts w:ascii="宋体" w:hAnsi="宋体"/>
                <w:color w:val="auto"/>
                <w:szCs w:val="21"/>
                <w:highlight w:val="none"/>
              </w:rPr>
            </w:pPr>
          </w:p>
        </w:tc>
        <w:tc>
          <w:tcPr>
            <w:tcW w:w="1379" w:type="dxa"/>
            <w:vAlign w:val="center"/>
          </w:tcPr>
          <w:p w14:paraId="6651AAD4">
            <w:pPr>
              <w:pStyle w:val="14"/>
              <w:spacing w:line="500" w:lineRule="exact"/>
              <w:jc w:val="left"/>
              <w:rPr>
                <w:rFonts w:ascii="宋体" w:hAnsi="宋体"/>
                <w:color w:val="auto"/>
                <w:szCs w:val="21"/>
                <w:highlight w:val="none"/>
              </w:rPr>
            </w:pPr>
          </w:p>
        </w:tc>
      </w:tr>
      <w:tr w14:paraId="7C6A8A3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373E9663">
            <w:pPr>
              <w:pStyle w:val="14"/>
              <w:spacing w:line="500" w:lineRule="exact"/>
              <w:jc w:val="left"/>
              <w:rPr>
                <w:rFonts w:ascii="宋体" w:hAnsi="宋体"/>
                <w:color w:val="auto"/>
                <w:szCs w:val="21"/>
                <w:highlight w:val="none"/>
              </w:rPr>
            </w:pPr>
          </w:p>
        </w:tc>
        <w:tc>
          <w:tcPr>
            <w:tcW w:w="2264" w:type="dxa"/>
            <w:vAlign w:val="center"/>
          </w:tcPr>
          <w:p w14:paraId="2DFD0664">
            <w:pPr>
              <w:pStyle w:val="14"/>
              <w:spacing w:line="500" w:lineRule="exact"/>
              <w:jc w:val="left"/>
              <w:rPr>
                <w:rFonts w:ascii="宋体" w:hAnsi="宋体"/>
                <w:color w:val="auto"/>
                <w:szCs w:val="21"/>
                <w:highlight w:val="none"/>
              </w:rPr>
            </w:pPr>
          </w:p>
        </w:tc>
        <w:tc>
          <w:tcPr>
            <w:tcW w:w="1314" w:type="dxa"/>
            <w:vAlign w:val="center"/>
          </w:tcPr>
          <w:p w14:paraId="6196BB7A">
            <w:pPr>
              <w:pStyle w:val="14"/>
              <w:spacing w:line="500" w:lineRule="exact"/>
              <w:jc w:val="left"/>
              <w:rPr>
                <w:rFonts w:ascii="宋体" w:hAnsi="宋体"/>
                <w:color w:val="auto"/>
                <w:szCs w:val="21"/>
                <w:highlight w:val="none"/>
              </w:rPr>
            </w:pPr>
          </w:p>
        </w:tc>
        <w:tc>
          <w:tcPr>
            <w:tcW w:w="1314" w:type="dxa"/>
            <w:vAlign w:val="center"/>
          </w:tcPr>
          <w:p w14:paraId="57DFF1FC">
            <w:pPr>
              <w:pStyle w:val="14"/>
              <w:spacing w:line="500" w:lineRule="exact"/>
              <w:jc w:val="left"/>
              <w:rPr>
                <w:rFonts w:ascii="宋体" w:hAnsi="宋体"/>
                <w:color w:val="auto"/>
                <w:szCs w:val="21"/>
                <w:highlight w:val="none"/>
              </w:rPr>
            </w:pPr>
          </w:p>
        </w:tc>
        <w:tc>
          <w:tcPr>
            <w:tcW w:w="1338" w:type="dxa"/>
            <w:vAlign w:val="center"/>
          </w:tcPr>
          <w:p w14:paraId="4E90912F">
            <w:pPr>
              <w:pStyle w:val="14"/>
              <w:spacing w:line="500" w:lineRule="exact"/>
              <w:jc w:val="left"/>
              <w:rPr>
                <w:rFonts w:ascii="宋体" w:hAnsi="宋体"/>
                <w:color w:val="auto"/>
                <w:szCs w:val="21"/>
                <w:highlight w:val="none"/>
              </w:rPr>
            </w:pPr>
          </w:p>
        </w:tc>
        <w:tc>
          <w:tcPr>
            <w:tcW w:w="1301" w:type="dxa"/>
            <w:vAlign w:val="center"/>
          </w:tcPr>
          <w:p w14:paraId="603D5C51">
            <w:pPr>
              <w:pStyle w:val="14"/>
              <w:spacing w:line="500" w:lineRule="exact"/>
              <w:jc w:val="left"/>
              <w:rPr>
                <w:rFonts w:ascii="宋体" w:hAnsi="宋体"/>
                <w:color w:val="auto"/>
                <w:szCs w:val="21"/>
                <w:highlight w:val="none"/>
              </w:rPr>
            </w:pPr>
          </w:p>
        </w:tc>
        <w:tc>
          <w:tcPr>
            <w:tcW w:w="1379" w:type="dxa"/>
            <w:vAlign w:val="center"/>
          </w:tcPr>
          <w:p w14:paraId="3BCA0374">
            <w:pPr>
              <w:pStyle w:val="14"/>
              <w:spacing w:line="500" w:lineRule="exact"/>
              <w:jc w:val="left"/>
              <w:rPr>
                <w:rFonts w:ascii="宋体" w:hAnsi="宋体"/>
                <w:color w:val="auto"/>
                <w:szCs w:val="21"/>
                <w:highlight w:val="none"/>
              </w:rPr>
            </w:pPr>
          </w:p>
        </w:tc>
      </w:tr>
      <w:tr w14:paraId="41C9D4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746F509F">
            <w:pPr>
              <w:pStyle w:val="14"/>
              <w:spacing w:line="500" w:lineRule="exact"/>
              <w:jc w:val="left"/>
              <w:rPr>
                <w:rFonts w:ascii="宋体" w:hAnsi="宋体"/>
                <w:color w:val="auto"/>
                <w:szCs w:val="21"/>
                <w:highlight w:val="none"/>
              </w:rPr>
            </w:pPr>
          </w:p>
        </w:tc>
        <w:tc>
          <w:tcPr>
            <w:tcW w:w="2264" w:type="dxa"/>
            <w:vAlign w:val="center"/>
          </w:tcPr>
          <w:p w14:paraId="2BE54D64">
            <w:pPr>
              <w:pStyle w:val="14"/>
              <w:spacing w:line="500" w:lineRule="exact"/>
              <w:jc w:val="left"/>
              <w:rPr>
                <w:rFonts w:ascii="宋体" w:hAnsi="宋体"/>
                <w:color w:val="auto"/>
                <w:szCs w:val="21"/>
                <w:highlight w:val="none"/>
              </w:rPr>
            </w:pPr>
          </w:p>
        </w:tc>
        <w:tc>
          <w:tcPr>
            <w:tcW w:w="1314" w:type="dxa"/>
            <w:vAlign w:val="center"/>
          </w:tcPr>
          <w:p w14:paraId="1610751B">
            <w:pPr>
              <w:pStyle w:val="14"/>
              <w:spacing w:line="500" w:lineRule="exact"/>
              <w:jc w:val="left"/>
              <w:rPr>
                <w:rFonts w:ascii="宋体" w:hAnsi="宋体"/>
                <w:color w:val="auto"/>
                <w:szCs w:val="21"/>
                <w:highlight w:val="none"/>
              </w:rPr>
            </w:pPr>
          </w:p>
        </w:tc>
        <w:tc>
          <w:tcPr>
            <w:tcW w:w="1314" w:type="dxa"/>
            <w:vAlign w:val="center"/>
          </w:tcPr>
          <w:p w14:paraId="0751C676">
            <w:pPr>
              <w:pStyle w:val="14"/>
              <w:spacing w:line="500" w:lineRule="exact"/>
              <w:jc w:val="left"/>
              <w:rPr>
                <w:rFonts w:ascii="宋体" w:hAnsi="宋体"/>
                <w:color w:val="auto"/>
                <w:szCs w:val="21"/>
                <w:highlight w:val="none"/>
              </w:rPr>
            </w:pPr>
          </w:p>
        </w:tc>
        <w:tc>
          <w:tcPr>
            <w:tcW w:w="1338" w:type="dxa"/>
            <w:vAlign w:val="center"/>
          </w:tcPr>
          <w:p w14:paraId="597C6643">
            <w:pPr>
              <w:pStyle w:val="14"/>
              <w:spacing w:line="500" w:lineRule="exact"/>
              <w:jc w:val="left"/>
              <w:rPr>
                <w:rFonts w:ascii="宋体" w:hAnsi="宋体"/>
                <w:color w:val="auto"/>
                <w:szCs w:val="21"/>
                <w:highlight w:val="none"/>
              </w:rPr>
            </w:pPr>
          </w:p>
        </w:tc>
        <w:tc>
          <w:tcPr>
            <w:tcW w:w="1301" w:type="dxa"/>
            <w:vAlign w:val="center"/>
          </w:tcPr>
          <w:p w14:paraId="51120AA1">
            <w:pPr>
              <w:pStyle w:val="14"/>
              <w:spacing w:line="500" w:lineRule="exact"/>
              <w:jc w:val="left"/>
              <w:rPr>
                <w:rFonts w:ascii="宋体" w:hAnsi="宋体"/>
                <w:color w:val="auto"/>
                <w:szCs w:val="21"/>
                <w:highlight w:val="none"/>
              </w:rPr>
            </w:pPr>
          </w:p>
        </w:tc>
        <w:tc>
          <w:tcPr>
            <w:tcW w:w="1379" w:type="dxa"/>
            <w:vAlign w:val="center"/>
          </w:tcPr>
          <w:p w14:paraId="65EAB387">
            <w:pPr>
              <w:pStyle w:val="14"/>
              <w:spacing w:line="500" w:lineRule="exact"/>
              <w:jc w:val="left"/>
              <w:rPr>
                <w:rFonts w:ascii="宋体" w:hAnsi="宋体"/>
                <w:color w:val="auto"/>
                <w:szCs w:val="21"/>
                <w:highlight w:val="none"/>
              </w:rPr>
            </w:pPr>
          </w:p>
        </w:tc>
      </w:tr>
      <w:tr w14:paraId="178DD02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035835A7">
            <w:pPr>
              <w:pStyle w:val="14"/>
              <w:spacing w:line="500" w:lineRule="exact"/>
              <w:jc w:val="left"/>
              <w:rPr>
                <w:rFonts w:ascii="宋体" w:hAnsi="宋体"/>
                <w:color w:val="auto"/>
                <w:szCs w:val="21"/>
                <w:highlight w:val="none"/>
              </w:rPr>
            </w:pPr>
          </w:p>
        </w:tc>
        <w:tc>
          <w:tcPr>
            <w:tcW w:w="2264" w:type="dxa"/>
            <w:vAlign w:val="center"/>
          </w:tcPr>
          <w:p w14:paraId="6D835E15">
            <w:pPr>
              <w:pStyle w:val="14"/>
              <w:spacing w:line="500" w:lineRule="exact"/>
              <w:jc w:val="left"/>
              <w:rPr>
                <w:rFonts w:ascii="宋体" w:hAnsi="宋体"/>
                <w:color w:val="auto"/>
                <w:szCs w:val="21"/>
                <w:highlight w:val="none"/>
              </w:rPr>
            </w:pPr>
          </w:p>
        </w:tc>
        <w:tc>
          <w:tcPr>
            <w:tcW w:w="1314" w:type="dxa"/>
            <w:vAlign w:val="center"/>
          </w:tcPr>
          <w:p w14:paraId="07A6EBB8">
            <w:pPr>
              <w:pStyle w:val="14"/>
              <w:spacing w:line="500" w:lineRule="exact"/>
              <w:jc w:val="left"/>
              <w:rPr>
                <w:rFonts w:ascii="宋体" w:hAnsi="宋体"/>
                <w:color w:val="auto"/>
                <w:szCs w:val="21"/>
                <w:highlight w:val="none"/>
              </w:rPr>
            </w:pPr>
          </w:p>
        </w:tc>
        <w:tc>
          <w:tcPr>
            <w:tcW w:w="1314" w:type="dxa"/>
            <w:vAlign w:val="center"/>
          </w:tcPr>
          <w:p w14:paraId="01481DB2">
            <w:pPr>
              <w:pStyle w:val="14"/>
              <w:spacing w:line="500" w:lineRule="exact"/>
              <w:jc w:val="left"/>
              <w:rPr>
                <w:rFonts w:ascii="宋体" w:hAnsi="宋体"/>
                <w:color w:val="auto"/>
                <w:szCs w:val="21"/>
                <w:highlight w:val="none"/>
              </w:rPr>
            </w:pPr>
          </w:p>
        </w:tc>
        <w:tc>
          <w:tcPr>
            <w:tcW w:w="1338" w:type="dxa"/>
            <w:vAlign w:val="center"/>
          </w:tcPr>
          <w:p w14:paraId="489A3219">
            <w:pPr>
              <w:pStyle w:val="14"/>
              <w:spacing w:line="500" w:lineRule="exact"/>
              <w:jc w:val="left"/>
              <w:rPr>
                <w:rFonts w:ascii="宋体" w:hAnsi="宋体"/>
                <w:color w:val="auto"/>
                <w:szCs w:val="21"/>
                <w:highlight w:val="none"/>
              </w:rPr>
            </w:pPr>
          </w:p>
        </w:tc>
        <w:tc>
          <w:tcPr>
            <w:tcW w:w="1301" w:type="dxa"/>
            <w:vAlign w:val="center"/>
          </w:tcPr>
          <w:p w14:paraId="6B6A6E53">
            <w:pPr>
              <w:pStyle w:val="14"/>
              <w:spacing w:line="500" w:lineRule="exact"/>
              <w:jc w:val="left"/>
              <w:rPr>
                <w:rFonts w:ascii="宋体" w:hAnsi="宋体"/>
                <w:color w:val="auto"/>
                <w:szCs w:val="21"/>
                <w:highlight w:val="none"/>
              </w:rPr>
            </w:pPr>
          </w:p>
        </w:tc>
        <w:tc>
          <w:tcPr>
            <w:tcW w:w="1379" w:type="dxa"/>
            <w:vAlign w:val="center"/>
          </w:tcPr>
          <w:p w14:paraId="6CA265E1">
            <w:pPr>
              <w:pStyle w:val="14"/>
              <w:spacing w:line="500" w:lineRule="exact"/>
              <w:jc w:val="left"/>
              <w:rPr>
                <w:rFonts w:ascii="宋体" w:hAnsi="宋体"/>
                <w:color w:val="auto"/>
                <w:szCs w:val="21"/>
                <w:highlight w:val="none"/>
              </w:rPr>
            </w:pPr>
          </w:p>
        </w:tc>
      </w:tr>
      <w:tr w14:paraId="37DB1AF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5093CEC8">
            <w:pPr>
              <w:pStyle w:val="14"/>
              <w:spacing w:line="500" w:lineRule="exact"/>
              <w:jc w:val="left"/>
              <w:rPr>
                <w:rFonts w:ascii="宋体" w:hAnsi="宋体"/>
                <w:color w:val="auto"/>
                <w:szCs w:val="21"/>
                <w:highlight w:val="none"/>
              </w:rPr>
            </w:pPr>
          </w:p>
        </w:tc>
        <w:tc>
          <w:tcPr>
            <w:tcW w:w="2264" w:type="dxa"/>
            <w:vAlign w:val="center"/>
          </w:tcPr>
          <w:p w14:paraId="7470784F">
            <w:pPr>
              <w:pStyle w:val="14"/>
              <w:spacing w:line="500" w:lineRule="exact"/>
              <w:jc w:val="left"/>
              <w:rPr>
                <w:rFonts w:ascii="宋体" w:hAnsi="宋体"/>
                <w:color w:val="auto"/>
                <w:szCs w:val="21"/>
                <w:highlight w:val="none"/>
              </w:rPr>
            </w:pPr>
          </w:p>
        </w:tc>
        <w:tc>
          <w:tcPr>
            <w:tcW w:w="1314" w:type="dxa"/>
            <w:vAlign w:val="center"/>
          </w:tcPr>
          <w:p w14:paraId="1EB69C6A">
            <w:pPr>
              <w:pStyle w:val="14"/>
              <w:spacing w:line="500" w:lineRule="exact"/>
              <w:jc w:val="left"/>
              <w:rPr>
                <w:rFonts w:ascii="宋体" w:hAnsi="宋体"/>
                <w:color w:val="auto"/>
                <w:szCs w:val="21"/>
                <w:highlight w:val="none"/>
              </w:rPr>
            </w:pPr>
          </w:p>
        </w:tc>
        <w:tc>
          <w:tcPr>
            <w:tcW w:w="1314" w:type="dxa"/>
            <w:vAlign w:val="center"/>
          </w:tcPr>
          <w:p w14:paraId="2D313318">
            <w:pPr>
              <w:pStyle w:val="14"/>
              <w:spacing w:line="500" w:lineRule="exact"/>
              <w:jc w:val="left"/>
              <w:rPr>
                <w:rFonts w:ascii="宋体" w:hAnsi="宋体"/>
                <w:color w:val="auto"/>
                <w:szCs w:val="21"/>
                <w:highlight w:val="none"/>
              </w:rPr>
            </w:pPr>
          </w:p>
        </w:tc>
        <w:tc>
          <w:tcPr>
            <w:tcW w:w="1338" w:type="dxa"/>
            <w:vAlign w:val="center"/>
          </w:tcPr>
          <w:p w14:paraId="3979A358">
            <w:pPr>
              <w:pStyle w:val="14"/>
              <w:spacing w:line="500" w:lineRule="exact"/>
              <w:jc w:val="left"/>
              <w:rPr>
                <w:rFonts w:ascii="宋体" w:hAnsi="宋体"/>
                <w:color w:val="auto"/>
                <w:szCs w:val="21"/>
                <w:highlight w:val="none"/>
              </w:rPr>
            </w:pPr>
          </w:p>
        </w:tc>
        <w:tc>
          <w:tcPr>
            <w:tcW w:w="1301" w:type="dxa"/>
            <w:vAlign w:val="center"/>
          </w:tcPr>
          <w:p w14:paraId="12490F82">
            <w:pPr>
              <w:pStyle w:val="14"/>
              <w:spacing w:line="500" w:lineRule="exact"/>
              <w:jc w:val="left"/>
              <w:rPr>
                <w:rFonts w:ascii="宋体" w:hAnsi="宋体"/>
                <w:color w:val="auto"/>
                <w:szCs w:val="21"/>
                <w:highlight w:val="none"/>
              </w:rPr>
            </w:pPr>
          </w:p>
        </w:tc>
        <w:tc>
          <w:tcPr>
            <w:tcW w:w="1379" w:type="dxa"/>
            <w:vAlign w:val="center"/>
          </w:tcPr>
          <w:p w14:paraId="02EA4C0D">
            <w:pPr>
              <w:pStyle w:val="14"/>
              <w:spacing w:line="500" w:lineRule="exact"/>
              <w:jc w:val="left"/>
              <w:rPr>
                <w:rFonts w:ascii="宋体" w:hAnsi="宋体"/>
                <w:color w:val="auto"/>
                <w:szCs w:val="21"/>
                <w:highlight w:val="none"/>
              </w:rPr>
            </w:pPr>
          </w:p>
        </w:tc>
      </w:tr>
      <w:tr w14:paraId="4E8997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00" w:hRule="atLeast"/>
        </w:trPr>
        <w:tc>
          <w:tcPr>
            <w:tcW w:w="855" w:type="dxa"/>
            <w:vAlign w:val="center"/>
          </w:tcPr>
          <w:p w14:paraId="2ABFE2C9">
            <w:pPr>
              <w:pStyle w:val="14"/>
              <w:spacing w:line="500" w:lineRule="exact"/>
              <w:jc w:val="left"/>
              <w:rPr>
                <w:rFonts w:ascii="宋体" w:hAnsi="宋体"/>
                <w:color w:val="auto"/>
                <w:szCs w:val="21"/>
                <w:highlight w:val="none"/>
              </w:rPr>
            </w:pPr>
          </w:p>
        </w:tc>
        <w:tc>
          <w:tcPr>
            <w:tcW w:w="2264" w:type="dxa"/>
            <w:vAlign w:val="center"/>
          </w:tcPr>
          <w:p w14:paraId="58793B90">
            <w:pPr>
              <w:pStyle w:val="14"/>
              <w:spacing w:line="500" w:lineRule="exact"/>
              <w:jc w:val="left"/>
              <w:rPr>
                <w:rFonts w:ascii="宋体" w:hAnsi="宋体"/>
                <w:color w:val="auto"/>
                <w:szCs w:val="21"/>
                <w:highlight w:val="none"/>
              </w:rPr>
            </w:pPr>
          </w:p>
        </w:tc>
        <w:tc>
          <w:tcPr>
            <w:tcW w:w="1314" w:type="dxa"/>
            <w:vAlign w:val="center"/>
          </w:tcPr>
          <w:p w14:paraId="4B550A4A">
            <w:pPr>
              <w:pStyle w:val="14"/>
              <w:spacing w:line="500" w:lineRule="exact"/>
              <w:jc w:val="left"/>
              <w:rPr>
                <w:rFonts w:ascii="宋体" w:hAnsi="宋体"/>
                <w:color w:val="auto"/>
                <w:szCs w:val="21"/>
                <w:highlight w:val="none"/>
              </w:rPr>
            </w:pPr>
          </w:p>
        </w:tc>
        <w:tc>
          <w:tcPr>
            <w:tcW w:w="1314" w:type="dxa"/>
            <w:vAlign w:val="center"/>
          </w:tcPr>
          <w:p w14:paraId="4DD8723B">
            <w:pPr>
              <w:pStyle w:val="14"/>
              <w:spacing w:line="500" w:lineRule="exact"/>
              <w:jc w:val="left"/>
              <w:rPr>
                <w:rFonts w:ascii="宋体" w:hAnsi="宋体"/>
                <w:color w:val="auto"/>
                <w:szCs w:val="21"/>
                <w:highlight w:val="none"/>
              </w:rPr>
            </w:pPr>
          </w:p>
        </w:tc>
        <w:tc>
          <w:tcPr>
            <w:tcW w:w="1338" w:type="dxa"/>
            <w:vAlign w:val="center"/>
          </w:tcPr>
          <w:p w14:paraId="3DB605C9">
            <w:pPr>
              <w:pStyle w:val="14"/>
              <w:spacing w:line="500" w:lineRule="exact"/>
              <w:jc w:val="left"/>
              <w:rPr>
                <w:rFonts w:ascii="宋体" w:hAnsi="宋体"/>
                <w:color w:val="auto"/>
                <w:szCs w:val="21"/>
                <w:highlight w:val="none"/>
              </w:rPr>
            </w:pPr>
          </w:p>
        </w:tc>
        <w:tc>
          <w:tcPr>
            <w:tcW w:w="1301" w:type="dxa"/>
            <w:vAlign w:val="center"/>
          </w:tcPr>
          <w:p w14:paraId="106B4B82">
            <w:pPr>
              <w:pStyle w:val="14"/>
              <w:spacing w:line="500" w:lineRule="exact"/>
              <w:jc w:val="left"/>
              <w:rPr>
                <w:rFonts w:ascii="宋体" w:hAnsi="宋体"/>
                <w:color w:val="auto"/>
                <w:szCs w:val="21"/>
                <w:highlight w:val="none"/>
              </w:rPr>
            </w:pPr>
          </w:p>
        </w:tc>
        <w:tc>
          <w:tcPr>
            <w:tcW w:w="1379" w:type="dxa"/>
            <w:vAlign w:val="center"/>
          </w:tcPr>
          <w:p w14:paraId="4B897D3D">
            <w:pPr>
              <w:pStyle w:val="14"/>
              <w:spacing w:line="500" w:lineRule="exact"/>
              <w:jc w:val="left"/>
              <w:rPr>
                <w:rFonts w:ascii="宋体" w:hAnsi="宋体"/>
                <w:color w:val="auto"/>
                <w:szCs w:val="21"/>
                <w:highlight w:val="none"/>
              </w:rPr>
            </w:pPr>
          </w:p>
        </w:tc>
      </w:tr>
      <w:tr w14:paraId="2F2882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4C6D8DDC">
            <w:pPr>
              <w:pStyle w:val="14"/>
              <w:spacing w:line="500" w:lineRule="exact"/>
              <w:jc w:val="left"/>
              <w:rPr>
                <w:rFonts w:ascii="宋体" w:hAnsi="宋体"/>
                <w:color w:val="auto"/>
                <w:szCs w:val="21"/>
                <w:highlight w:val="none"/>
              </w:rPr>
            </w:pPr>
          </w:p>
        </w:tc>
        <w:tc>
          <w:tcPr>
            <w:tcW w:w="2264" w:type="dxa"/>
            <w:vAlign w:val="center"/>
          </w:tcPr>
          <w:p w14:paraId="291C9413">
            <w:pPr>
              <w:pStyle w:val="14"/>
              <w:spacing w:line="500" w:lineRule="exact"/>
              <w:jc w:val="left"/>
              <w:rPr>
                <w:rFonts w:ascii="宋体" w:hAnsi="宋体"/>
                <w:color w:val="auto"/>
                <w:szCs w:val="21"/>
                <w:highlight w:val="none"/>
              </w:rPr>
            </w:pPr>
          </w:p>
        </w:tc>
        <w:tc>
          <w:tcPr>
            <w:tcW w:w="1314" w:type="dxa"/>
            <w:vAlign w:val="center"/>
          </w:tcPr>
          <w:p w14:paraId="577013B5">
            <w:pPr>
              <w:pStyle w:val="14"/>
              <w:spacing w:line="500" w:lineRule="exact"/>
              <w:jc w:val="left"/>
              <w:rPr>
                <w:rFonts w:ascii="宋体" w:hAnsi="宋体"/>
                <w:color w:val="auto"/>
                <w:szCs w:val="21"/>
                <w:highlight w:val="none"/>
              </w:rPr>
            </w:pPr>
          </w:p>
        </w:tc>
        <w:tc>
          <w:tcPr>
            <w:tcW w:w="1314" w:type="dxa"/>
            <w:vAlign w:val="center"/>
          </w:tcPr>
          <w:p w14:paraId="0EC27FED">
            <w:pPr>
              <w:pStyle w:val="14"/>
              <w:spacing w:line="500" w:lineRule="exact"/>
              <w:jc w:val="left"/>
              <w:rPr>
                <w:rFonts w:ascii="宋体" w:hAnsi="宋体"/>
                <w:color w:val="auto"/>
                <w:szCs w:val="21"/>
                <w:highlight w:val="none"/>
              </w:rPr>
            </w:pPr>
          </w:p>
        </w:tc>
        <w:tc>
          <w:tcPr>
            <w:tcW w:w="1338" w:type="dxa"/>
            <w:vAlign w:val="center"/>
          </w:tcPr>
          <w:p w14:paraId="449798F0">
            <w:pPr>
              <w:pStyle w:val="14"/>
              <w:spacing w:line="500" w:lineRule="exact"/>
              <w:jc w:val="left"/>
              <w:rPr>
                <w:rFonts w:ascii="宋体" w:hAnsi="宋体"/>
                <w:color w:val="auto"/>
                <w:szCs w:val="21"/>
                <w:highlight w:val="none"/>
              </w:rPr>
            </w:pPr>
          </w:p>
        </w:tc>
        <w:tc>
          <w:tcPr>
            <w:tcW w:w="1301" w:type="dxa"/>
            <w:vAlign w:val="center"/>
          </w:tcPr>
          <w:p w14:paraId="08C35E7B">
            <w:pPr>
              <w:pStyle w:val="14"/>
              <w:spacing w:line="500" w:lineRule="exact"/>
              <w:jc w:val="left"/>
              <w:rPr>
                <w:rFonts w:ascii="宋体" w:hAnsi="宋体"/>
                <w:color w:val="auto"/>
                <w:szCs w:val="21"/>
                <w:highlight w:val="none"/>
              </w:rPr>
            </w:pPr>
          </w:p>
        </w:tc>
        <w:tc>
          <w:tcPr>
            <w:tcW w:w="1379" w:type="dxa"/>
            <w:vAlign w:val="center"/>
          </w:tcPr>
          <w:p w14:paraId="527CD07F">
            <w:pPr>
              <w:pStyle w:val="14"/>
              <w:spacing w:line="500" w:lineRule="exact"/>
              <w:jc w:val="left"/>
              <w:rPr>
                <w:rFonts w:ascii="宋体" w:hAnsi="宋体"/>
                <w:color w:val="auto"/>
                <w:szCs w:val="21"/>
                <w:highlight w:val="none"/>
              </w:rPr>
            </w:pPr>
          </w:p>
        </w:tc>
      </w:tr>
      <w:tr w14:paraId="6B0CA3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855" w:type="dxa"/>
            <w:vAlign w:val="center"/>
          </w:tcPr>
          <w:p w14:paraId="58AC4240">
            <w:pPr>
              <w:pStyle w:val="14"/>
              <w:spacing w:line="500" w:lineRule="exact"/>
              <w:jc w:val="left"/>
              <w:rPr>
                <w:rFonts w:ascii="宋体" w:hAnsi="宋体"/>
                <w:color w:val="auto"/>
                <w:szCs w:val="21"/>
                <w:highlight w:val="none"/>
              </w:rPr>
            </w:pPr>
          </w:p>
        </w:tc>
        <w:tc>
          <w:tcPr>
            <w:tcW w:w="2264" w:type="dxa"/>
            <w:vAlign w:val="center"/>
          </w:tcPr>
          <w:p w14:paraId="41962355">
            <w:pPr>
              <w:pStyle w:val="14"/>
              <w:spacing w:line="500" w:lineRule="exact"/>
              <w:jc w:val="left"/>
              <w:rPr>
                <w:rFonts w:ascii="宋体" w:hAnsi="宋体"/>
                <w:color w:val="auto"/>
                <w:szCs w:val="21"/>
                <w:highlight w:val="none"/>
              </w:rPr>
            </w:pPr>
          </w:p>
        </w:tc>
        <w:tc>
          <w:tcPr>
            <w:tcW w:w="1314" w:type="dxa"/>
            <w:vAlign w:val="center"/>
          </w:tcPr>
          <w:p w14:paraId="6D09F3EC">
            <w:pPr>
              <w:pStyle w:val="14"/>
              <w:spacing w:line="500" w:lineRule="exact"/>
              <w:jc w:val="left"/>
              <w:rPr>
                <w:rFonts w:ascii="宋体" w:hAnsi="宋体"/>
                <w:color w:val="auto"/>
                <w:szCs w:val="21"/>
                <w:highlight w:val="none"/>
              </w:rPr>
            </w:pPr>
          </w:p>
        </w:tc>
        <w:tc>
          <w:tcPr>
            <w:tcW w:w="1314" w:type="dxa"/>
            <w:vAlign w:val="center"/>
          </w:tcPr>
          <w:p w14:paraId="154A214A">
            <w:pPr>
              <w:pStyle w:val="14"/>
              <w:spacing w:line="500" w:lineRule="exact"/>
              <w:jc w:val="left"/>
              <w:rPr>
                <w:rFonts w:ascii="宋体" w:hAnsi="宋体"/>
                <w:color w:val="auto"/>
                <w:szCs w:val="21"/>
                <w:highlight w:val="none"/>
              </w:rPr>
            </w:pPr>
          </w:p>
        </w:tc>
        <w:tc>
          <w:tcPr>
            <w:tcW w:w="1338" w:type="dxa"/>
            <w:vAlign w:val="center"/>
          </w:tcPr>
          <w:p w14:paraId="0B374ACE">
            <w:pPr>
              <w:pStyle w:val="14"/>
              <w:spacing w:line="500" w:lineRule="exact"/>
              <w:jc w:val="left"/>
              <w:rPr>
                <w:rFonts w:ascii="宋体" w:hAnsi="宋体"/>
                <w:color w:val="auto"/>
                <w:szCs w:val="21"/>
                <w:highlight w:val="none"/>
              </w:rPr>
            </w:pPr>
          </w:p>
        </w:tc>
        <w:tc>
          <w:tcPr>
            <w:tcW w:w="1301" w:type="dxa"/>
            <w:vAlign w:val="center"/>
          </w:tcPr>
          <w:p w14:paraId="70EF6EA5">
            <w:pPr>
              <w:pStyle w:val="14"/>
              <w:spacing w:line="500" w:lineRule="exact"/>
              <w:jc w:val="left"/>
              <w:rPr>
                <w:rFonts w:ascii="宋体" w:hAnsi="宋体"/>
                <w:color w:val="auto"/>
                <w:szCs w:val="21"/>
                <w:highlight w:val="none"/>
              </w:rPr>
            </w:pPr>
          </w:p>
        </w:tc>
        <w:tc>
          <w:tcPr>
            <w:tcW w:w="1379" w:type="dxa"/>
            <w:vAlign w:val="center"/>
          </w:tcPr>
          <w:p w14:paraId="612CD51F">
            <w:pPr>
              <w:pStyle w:val="14"/>
              <w:spacing w:line="500" w:lineRule="exact"/>
              <w:jc w:val="left"/>
              <w:rPr>
                <w:rFonts w:ascii="宋体" w:hAnsi="宋体"/>
                <w:color w:val="auto"/>
                <w:szCs w:val="21"/>
                <w:highlight w:val="none"/>
              </w:rPr>
            </w:pPr>
          </w:p>
        </w:tc>
      </w:tr>
    </w:tbl>
    <w:p w14:paraId="1E2D8697">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037F73A4">
      <w:pPr>
        <w:pStyle w:val="14"/>
        <w:spacing w:line="620" w:lineRule="exact"/>
        <w:rPr>
          <w:rFonts w:ascii="宋体" w:hAnsi="宋体"/>
          <w:color w:val="auto"/>
          <w:szCs w:val="21"/>
          <w:highlight w:val="none"/>
        </w:rPr>
      </w:pPr>
      <w:r>
        <w:rPr>
          <w:rFonts w:hint="eastAsia" w:ascii="宋体" w:hAnsi="宋体"/>
          <w:color w:val="auto"/>
          <w:szCs w:val="21"/>
          <w:highlight w:val="none"/>
        </w:rPr>
        <w:t xml:space="preserve">发包人代表：                                            记录人：             </w:t>
      </w:r>
    </w:p>
    <w:p w14:paraId="6A7E38A0">
      <w:pPr>
        <w:pStyle w:val="14"/>
        <w:spacing w:line="620" w:lineRule="exact"/>
        <w:rPr>
          <w:rFonts w:ascii="宋体" w:hAnsi="宋体"/>
          <w:color w:val="auto"/>
          <w:szCs w:val="21"/>
          <w:highlight w:val="none"/>
        </w:rPr>
      </w:pPr>
      <w:r>
        <w:rPr>
          <w:rFonts w:hint="eastAsia" w:ascii="宋体" w:hAnsi="宋体"/>
          <w:color w:val="auto"/>
          <w:szCs w:val="21"/>
          <w:highlight w:val="none"/>
        </w:rPr>
        <w:t xml:space="preserve">                                            年        月        日</w:t>
      </w:r>
    </w:p>
    <w:p w14:paraId="478F5ED7">
      <w:pPr>
        <w:pStyle w:val="14"/>
        <w:spacing w:line="400" w:lineRule="exact"/>
        <w:ind w:left="0" w:firstLine="0"/>
        <w:jc w:val="center"/>
        <w:rPr>
          <w:rFonts w:ascii="宋体" w:hAnsi="宋体"/>
          <w:color w:val="auto"/>
          <w:szCs w:val="21"/>
          <w:highlight w:val="none"/>
        </w:rPr>
      </w:pPr>
      <w:r>
        <w:rPr>
          <w:rFonts w:hint="eastAsia" w:ascii="宋体" w:hAnsi="宋体"/>
          <w:color w:val="auto"/>
          <w:szCs w:val="21"/>
          <w:highlight w:val="none"/>
        </w:rPr>
        <w:br w:type="page"/>
      </w:r>
    </w:p>
    <w:p w14:paraId="7096F1CC">
      <w:pPr>
        <w:pStyle w:val="14"/>
        <w:spacing w:line="400" w:lineRule="exact"/>
        <w:ind w:left="0" w:firstLine="0"/>
        <w:jc w:val="center"/>
        <w:rPr>
          <w:rFonts w:ascii="宋体" w:hAnsi="宋体"/>
          <w:color w:val="auto"/>
          <w:szCs w:val="21"/>
          <w:highlight w:val="none"/>
        </w:rPr>
      </w:pPr>
    </w:p>
    <w:p w14:paraId="7303C0B0">
      <w:pPr>
        <w:pStyle w:val="14"/>
        <w:spacing w:line="400" w:lineRule="exact"/>
        <w:ind w:left="0" w:firstLine="0"/>
        <w:jc w:val="center"/>
        <w:rPr>
          <w:rFonts w:ascii="宋体" w:hAnsi="宋体"/>
          <w:color w:val="auto"/>
          <w:szCs w:val="21"/>
          <w:highlight w:val="none"/>
        </w:rPr>
      </w:pPr>
    </w:p>
    <w:p w14:paraId="70238E08">
      <w:pPr>
        <w:pStyle w:val="14"/>
        <w:spacing w:line="400" w:lineRule="exact"/>
        <w:ind w:left="0" w:firstLine="0"/>
        <w:jc w:val="center"/>
        <w:rPr>
          <w:rFonts w:ascii="宋体" w:hAnsi="宋体"/>
          <w:color w:val="auto"/>
          <w:szCs w:val="21"/>
          <w:highlight w:val="none"/>
        </w:rPr>
      </w:pPr>
      <w:r>
        <w:rPr>
          <w:rFonts w:hint="eastAsia" w:ascii="宋体" w:hAnsi="宋体"/>
          <w:color w:val="auto"/>
          <w:szCs w:val="21"/>
          <w:highlight w:val="none"/>
          <w:u w:val="single"/>
        </w:rPr>
        <w:t xml:space="preserve">（项目名称）   </w:t>
      </w:r>
      <w:r>
        <w:rPr>
          <w:rFonts w:hint="eastAsia" w:ascii="宋体" w:hAnsi="宋体"/>
          <w:color w:val="auto"/>
          <w:szCs w:val="21"/>
          <w:highlight w:val="none"/>
        </w:rPr>
        <w:t>标段设计第二个信封（报价文件）</w:t>
      </w:r>
    </w:p>
    <w:p w14:paraId="0F1E11F3">
      <w:pPr>
        <w:pStyle w:val="14"/>
        <w:spacing w:line="400" w:lineRule="exact"/>
        <w:jc w:val="center"/>
        <w:rPr>
          <w:rFonts w:ascii="宋体" w:hAnsi="宋体"/>
          <w:color w:val="auto"/>
          <w:szCs w:val="21"/>
          <w:highlight w:val="none"/>
        </w:rPr>
      </w:pPr>
      <w:r>
        <w:rPr>
          <w:rFonts w:hint="eastAsia" w:ascii="宋体" w:hAnsi="宋体"/>
          <w:color w:val="auto"/>
          <w:szCs w:val="21"/>
          <w:highlight w:val="none"/>
        </w:rPr>
        <w:t>开标记录表</w:t>
      </w:r>
    </w:p>
    <w:p w14:paraId="7EB75B37">
      <w:pPr>
        <w:pStyle w:val="14"/>
        <w:spacing w:line="400" w:lineRule="exact"/>
        <w:rPr>
          <w:rFonts w:ascii="宋体" w:hAnsi="宋体"/>
          <w:color w:val="auto"/>
          <w:szCs w:val="21"/>
          <w:highlight w:val="none"/>
        </w:rPr>
      </w:pPr>
    </w:p>
    <w:p w14:paraId="760D8064">
      <w:pPr>
        <w:pStyle w:val="14"/>
        <w:spacing w:line="400" w:lineRule="exact"/>
        <w:jc w:val="right"/>
        <w:rPr>
          <w:rFonts w:ascii="宋体" w:hAnsi="宋体"/>
          <w:color w:val="auto"/>
          <w:szCs w:val="21"/>
          <w:highlight w:val="none"/>
        </w:rPr>
      </w:pPr>
      <w:r>
        <w:rPr>
          <w:rFonts w:hint="eastAsia" w:ascii="宋体" w:hAnsi="宋体"/>
          <w:color w:val="auto"/>
          <w:szCs w:val="21"/>
          <w:highlight w:val="none"/>
        </w:rPr>
        <w:t>开标时间：    年    月    日    时    分</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49"/>
        <w:gridCol w:w="4179"/>
        <w:gridCol w:w="2685"/>
        <w:gridCol w:w="1732"/>
      </w:tblGrid>
      <w:tr w14:paraId="37D9F8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36" w:hRule="atLeast"/>
        </w:trPr>
        <w:tc>
          <w:tcPr>
            <w:tcW w:w="949" w:type="dxa"/>
            <w:vAlign w:val="center"/>
          </w:tcPr>
          <w:p w14:paraId="50DCD4C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序号</w:t>
            </w:r>
          </w:p>
        </w:tc>
        <w:tc>
          <w:tcPr>
            <w:tcW w:w="4179" w:type="dxa"/>
            <w:vAlign w:val="center"/>
          </w:tcPr>
          <w:p w14:paraId="5FA29CD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w:t>
            </w:r>
          </w:p>
        </w:tc>
        <w:tc>
          <w:tcPr>
            <w:tcW w:w="2685" w:type="dxa"/>
            <w:vAlign w:val="center"/>
          </w:tcPr>
          <w:p w14:paraId="624A1955">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竞包报价（元）</w:t>
            </w:r>
          </w:p>
        </w:tc>
        <w:tc>
          <w:tcPr>
            <w:tcW w:w="1732" w:type="dxa"/>
            <w:vAlign w:val="center"/>
          </w:tcPr>
          <w:p w14:paraId="75A007A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备注</w:t>
            </w:r>
          </w:p>
        </w:tc>
      </w:tr>
      <w:tr w14:paraId="337313E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6353FC67">
            <w:pPr>
              <w:pStyle w:val="14"/>
              <w:spacing w:line="500" w:lineRule="exact"/>
              <w:jc w:val="left"/>
              <w:rPr>
                <w:rFonts w:ascii="宋体" w:hAnsi="宋体"/>
                <w:color w:val="auto"/>
                <w:szCs w:val="21"/>
                <w:highlight w:val="none"/>
              </w:rPr>
            </w:pPr>
          </w:p>
        </w:tc>
        <w:tc>
          <w:tcPr>
            <w:tcW w:w="4179" w:type="dxa"/>
            <w:vAlign w:val="center"/>
          </w:tcPr>
          <w:p w14:paraId="3CC1F52A">
            <w:pPr>
              <w:pStyle w:val="14"/>
              <w:spacing w:line="500" w:lineRule="exact"/>
              <w:jc w:val="left"/>
              <w:rPr>
                <w:rFonts w:ascii="宋体" w:hAnsi="宋体"/>
                <w:color w:val="auto"/>
                <w:szCs w:val="21"/>
                <w:highlight w:val="none"/>
              </w:rPr>
            </w:pPr>
          </w:p>
        </w:tc>
        <w:tc>
          <w:tcPr>
            <w:tcW w:w="2685" w:type="dxa"/>
            <w:vAlign w:val="center"/>
          </w:tcPr>
          <w:p w14:paraId="3376BD7C">
            <w:pPr>
              <w:pStyle w:val="14"/>
              <w:spacing w:line="500" w:lineRule="exact"/>
              <w:jc w:val="left"/>
              <w:rPr>
                <w:rFonts w:ascii="宋体" w:hAnsi="宋体"/>
                <w:color w:val="auto"/>
                <w:szCs w:val="21"/>
                <w:highlight w:val="none"/>
              </w:rPr>
            </w:pPr>
          </w:p>
        </w:tc>
        <w:tc>
          <w:tcPr>
            <w:tcW w:w="1732" w:type="dxa"/>
            <w:vAlign w:val="center"/>
          </w:tcPr>
          <w:p w14:paraId="11843AA5">
            <w:pPr>
              <w:pStyle w:val="14"/>
              <w:spacing w:line="500" w:lineRule="exact"/>
              <w:jc w:val="left"/>
              <w:rPr>
                <w:rFonts w:ascii="宋体" w:hAnsi="宋体"/>
                <w:color w:val="auto"/>
                <w:szCs w:val="21"/>
                <w:highlight w:val="none"/>
              </w:rPr>
            </w:pPr>
          </w:p>
        </w:tc>
      </w:tr>
      <w:tr w14:paraId="3A1094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6D02DE4F">
            <w:pPr>
              <w:pStyle w:val="14"/>
              <w:spacing w:line="500" w:lineRule="exact"/>
              <w:jc w:val="left"/>
              <w:rPr>
                <w:rFonts w:ascii="宋体" w:hAnsi="宋体"/>
                <w:color w:val="auto"/>
                <w:szCs w:val="21"/>
                <w:highlight w:val="none"/>
              </w:rPr>
            </w:pPr>
          </w:p>
        </w:tc>
        <w:tc>
          <w:tcPr>
            <w:tcW w:w="4179" w:type="dxa"/>
            <w:vAlign w:val="center"/>
          </w:tcPr>
          <w:p w14:paraId="509F2573">
            <w:pPr>
              <w:pStyle w:val="14"/>
              <w:spacing w:line="500" w:lineRule="exact"/>
              <w:jc w:val="left"/>
              <w:rPr>
                <w:rFonts w:ascii="宋体" w:hAnsi="宋体"/>
                <w:color w:val="auto"/>
                <w:szCs w:val="21"/>
                <w:highlight w:val="none"/>
              </w:rPr>
            </w:pPr>
          </w:p>
        </w:tc>
        <w:tc>
          <w:tcPr>
            <w:tcW w:w="2685" w:type="dxa"/>
            <w:vAlign w:val="center"/>
          </w:tcPr>
          <w:p w14:paraId="431A72DF">
            <w:pPr>
              <w:pStyle w:val="14"/>
              <w:spacing w:line="500" w:lineRule="exact"/>
              <w:jc w:val="left"/>
              <w:rPr>
                <w:rFonts w:ascii="宋体" w:hAnsi="宋体"/>
                <w:color w:val="auto"/>
                <w:szCs w:val="21"/>
                <w:highlight w:val="none"/>
              </w:rPr>
            </w:pPr>
          </w:p>
        </w:tc>
        <w:tc>
          <w:tcPr>
            <w:tcW w:w="1732" w:type="dxa"/>
            <w:vAlign w:val="center"/>
          </w:tcPr>
          <w:p w14:paraId="130E3206">
            <w:pPr>
              <w:pStyle w:val="14"/>
              <w:spacing w:line="500" w:lineRule="exact"/>
              <w:jc w:val="left"/>
              <w:rPr>
                <w:rFonts w:ascii="宋体" w:hAnsi="宋体"/>
                <w:color w:val="auto"/>
                <w:szCs w:val="21"/>
                <w:highlight w:val="none"/>
              </w:rPr>
            </w:pPr>
          </w:p>
        </w:tc>
      </w:tr>
      <w:tr w14:paraId="476D1DC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51DA78D0">
            <w:pPr>
              <w:pStyle w:val="14"/>
              <w:spacing w:line="500" w:lineRule="exact"/>
              <w:jc w:val="left"/>
              <w:rPr>
                <w:rFonts w:ascii="宋体" w:hAnsi="宋体"/>
                <w:color w:val="auto"/>
                <w:szCs w:val="21"/>
                <w:highlight w:val="none"/>
              </w:rPr>
            </w:pPr>
          </w:p>
        </w:tc>
        <w:tc>
          <w:tcPr>
            <w:tcW w:w="4179" w:type="dxa"/>
            <w:vAlign w:val="center"/>
          </w:tcPr>
          <w:p w14:paraId="36302606">
            <w:pPr>
              <w:pStyle w:val="14"/>
              <w:spacing w:line="500" w:lineRule="exact"/>
              <w:jc w:val="left"/>
              <w:rPr>
                <w:rFonts w:ascii="宋体" w:hAnsi="宋体"/>
                <w:color w:val="auto"/>
                <w:szCs w:val="21"/>
                <w:highlight w:val="none"/>
              </w:rPr>
            </w:pPr>
          </w:p>
        </w:tc>
        <w:tc>
          <w:tcPr>
            <w:tcW w:w="2685" w:type="dxa"/>
            <w:vAlign w:val="center"/>
          </w:tcPr>
          <w:p w14:paraId="262CEBFE">
            <w:pPr>
              <w:pStyle w:val="14"/>
              <w:spacing w:line="500" w:lineRule="exact"/>
              <w:jc w:val="left"/>
              <w:rPr>
                <w:rFonts w:ascii="宋体" w:hAnsi="宋体"/>
                <w:color w:val="auto"/>
                <w:szCs w:val="21"/>
                <w:highlight w:val="none"/>
              </w:rPr>
            </w:pPr>
          </w:p>
        </w:tc>
        <w:tc>
          <w:tcPr>
            <w:tcW w:w="1732" w:type="dxa"/>
            <w:vAlign w:val="center"/>
          </w:tcPr>
          <w:p w14:paraId="382BDFC0">
            <w:pPr>
              <w:pStyle w:val="14"/>
              <w:spacing w:line="500" w:lineRule="exact"/>
              <w:jc w:val="left"/>
              <w:rPr>
                <w:rFonts w:ascii="宋体" w:hAnsi="宋体"/>
                <w:color w:val="auto"/>
                <w:szCs w:val="21"/>
                <w:highlight w:val="none"/>
              </w:rPr>
            </w:pPr>
          </w:p>
        </w:tc>
      </w:tr>
      <w:tr w14:paraId="3D340D8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7FB91666">
            <w:pPr>
              <w:pStyle w:val="14"/>
              <w:spacing w:line="500" w:lineRule="exact"/>
              <w:jc w:val="left"/>
              <w:rPr>
                <w:rFonts w:ascii="宋体" w:hAnsi="宋体"/>
                <w:color w:val="auto"/>
                <w:szCs w:val="21"/>
                <w:highlight w:val="none"/>
              </w:rPr>
            </w:pPr>
          </w:p>
        </w:tc>
        <w:tc>
          <w:tcPr>
            <w:tcW w:w="4179" w:type="dxa"/>
            <w:vAlign w:val="center"/>
          </w:tcPr>
          <w:p w14:paraId="53DD3E9E">
            <w:pPr>
              <w:pStyle w:val="14"/>
              <w:spacing w:line="500" w:lineRule="exact"/>
              <w:jc w:val="left"/>
              <w:rPr>
                <w:rFonts w:ascii="宋体" w:hAnsi="宋体"/>
                <w:color w:val="auto"/>
                <w:szCs w:val="21"/>
                <w:highlight w:val="none"/>
              </w:rPr>
            </w:pPr>
          </w:p>
        </w:tc>
        <w:tc>
          <w:tcPr>
            <w:tcW w:w="2685" w:type="dxa"/>
            <w:vAlign w:val="center"/>
          </w:tcPr>
          <w:p w14:paraId="4C9B546C">
            <w:pPr>
              <w:pStyle w:val="14"/>
              <w:spacing w:line="500" w:lineRule="exact"/>
              <w:jc w:val="left"/>
              <w:rPr>
                <w:rFonts w:ascii="宋体" w:hAnsi="宋体"/>
                <w:color w:val="auto"/>
                <w:szCs w:val="21"/>
                <w:highlight w:val="none"/>
              </w:rPr>
            </w:pPr>
          </w:p>
        </w:tc>
        <w:tc>
          <w:tcPr>
            <w:tcW w:w="1732" w:type="dxa"/>
            <w:vAlign w:val="center"/>
          </w:tcPr>
          <w:p w14:paraId="0C2BAA67">
            <w:pPr>
              <w:pStyle w:val="14"/>
              <w:spacing w:line="500" w:lineRule="exact"/>
              <w:jc w:val="left"/>
              <w:rPr>
                <w:rFonts w:ascii="宋体" w:hAnsi="宋体"/>
                <w:color w:val="auto"/>
                <w:szCs w:val="21"/>
                <w:highlight w:val="none"/>
              </w:rPr>
            </w:pPr>
          </w:p>
        </w:tc>
      </w:tr>
      <w:tr w14:paraId="568031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2AD7DA97">
            <w:pPr>
              <w:pStyle w:val="14"/>
              <w:spacing w:line="500" w:lineRule="exact"/>
              <w:jc w:val="left"/>
              <w:rPr>
                <w:rFonts w:ascii="宋体" w:hAnsi="宋体"/>
                <w:color w:val="auto"/>
                <w:szCs w:val="21"/>
                <w:highlight w:val="none"/>
              </w:rPr>
            </w:pPr>
          </w:p>
        </w:tc>
        <w:tc>
          <w:tcPr>
            <w:tcW w:w="4179" w:type="dxa"/>
            <w:vAlign w:val="center"/>
          </w:tcPr>
          <w:p w14:paraId="592CDABF">
            <w:pPr>
              <w:pStyle w:val="14"/>
              <w:spacing w:line="500" w:lineRule="exact"/>
              <w:jc w:val="left"/>
              <w:rPr>
                <w:rFonts w:ascii="宋体" w:hAnsi="宋体"/>
                <w:color w:val="auto"/>
                <w:szCs w:val="21"/>
                <w:highlight w:val="none"/>
              </w:rPr>
            </w:pPr>
          </w:p>
        </w:tc>
        <w:tc>
          <w:tcPr>
            <w:tcW w:w="2685" w:type="dxa"/>
            <w:vAlign w:val="center"/>
          </w:tcPr>
          <w:p w14:paraId="064F3AD5">
            <w:pPr>
              <w:pStyle w:val="14"/>
              <w:spacing w:line="500" w:lineRule="exact"/>
              <w:jc w:val="left"/>
              <w:rPr>
                <w:rFonts w:ascii="宋体" w:hAnsi="宋体"/>
                <w:color w:val="auto"/>
                <w:szCs w:val="21"/>
                <w:highlight w:val="none"/>
              </w:rPr>
            </w:pPr>
          </w:p>
        </w:tc>
        <w:tc>
          <w:tcPr>
            <w:tcW w:w="1732" w:type="dxa"/>
            <w:vAlign w:val="center"/>
          </w:tcPr>
          <w:p w14:paraId="35813B94">
            <w:pPr>
              <w:pStyle w:val="14"/>
              <w:spacing w:line="500" w:lineRule="exact"/>
              <w:jc w:val="left"/>
              <w:rPr>
                <w:rFonts w:ascii="宋体" w:hAnsi="宋体"/>
                <w:color w:val="auto"/>
                <w:szCs w:val="21"/>
                <w:highlight w:val="none"/>
              </w:rPr>
            </w:pPr>
          </w:p>
        </w:tc>
      </w:tr>
      <w:tr w14:paraId="34B61F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67353AB5">
            <w:pPr>
              <w:pStyle w:val="14"/>
              <w:spacing w:line="500" w:lineRule="exact"/>
              <w:jc w:val="left"/>
              <w:rPr>
                <w:rFonts w:ascii="宋体" w:hAnsi="宋体"/>
                <w:color w:val="auto"/>
                <w:szCs w:val="21"/>
                <w:highlight w:val="none"/>
              </w:rPr>
            </w:pPr>
          </w:p>
        </w:tc>
        <w:tc>
          <w:tcPr>
            <w:tcW w:w="4179" w:type="dxa"/>
            <w:vAlign w:val="center"/>
          </w:tcPr>
          <w:p w14:paraId="1AD8344C">
            <w:pPr>
              <w:pStyle w:val="14"/>
              <w:spacing w:line="500" w:lineRule="exact"/>
              <w:jc w:val="left"/>
              <w:rPr>
                <w:rFonts w:ascii="宋体" w:hAnsi="宋体"/>
                <w:color w:val="auto"/>
                <w:szCs w:val="21"/>
                <w:highlight w:val="none"/>
              </w:rPr>
            </w:pPr>
          </w:p>
        </w:tc>
        <w:tc>
          <w:tcPr>
            <w:tcW w:w="2685" w:type="dxa"/>
            <w:vAlign w:val="center"/>
          </w:tcPr>
          <w:p w14:paraId="78E0477D">
            <w:pPr>
              <w:pStyle w:val="14"/>
              <w:spacing w:line="500" w:lineRule="exact"/>
              <w:jc w:val="left"/>
              <w:rPr>
                <w:rFonts w:ascii="宋体" w:hAnsi="宋体"/>
                <w:color w:val="auto"/>
                <w:szCs w:val="21"/>
                <w:highlight w:val="none"/>
              </w:rPr>
            </w:pPr>
          </w:p>
        </w:tc>
        <w:tc>
          <w:tcPr>
            <w:tcW w:w="1732" w:type="dxa"/>
            <w:vAlign w:val="center"/>
          </w:tcPr>
          <w:p w14:paraId="1AA1B8F0">
            <w:pPr>
              <w:pStyle w:val="14"/>
              <w:spacing w:line="500" w:lineRule="exact"/>
              <w:jc w:val="left"/>
              <w:rPr>
                <w:rFonts w:ascii="宋体" w:hAnsi="宋体"/>
                <w:color w:val="auto"/>
                <w:szCs w:val="21"/>
                <w:highlight w:val="none"/>
              </w:rPr>
            </w:pPr>
          </w:p>
        </w:tc>
      </w:tr>
      <w:tr w14:paraId="605C5A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949" w:type="dxa"/>
            <w:vAlign w:val="center"/>
          </w:tcPr>
          <w:p w14:paraId="1AE639DF">
            <w:pPr>
              <w:pStyle w:val="14"/>
              <w:spacing w:line="500" w:lineRule="exact"/>
              <w:jc w:val="left"/>
              <w:rPr>
                <w:rFonts w:ascii="宋体" w:hAnsi="宋体"/>
                <w:color w:val="auto"/>
                <w:szCs w:val="21"/>
                <w:highlight w:val="none"/>
              </w:rPr>
            </w:pPr>
          </w:p>
        </w:tc>
        <w:tc>
          <w:tcPr>
            <w:tcW w:w="4179" w:type="dxa"/>
            <w:vAlign w:val="center"/>
          </w:tcPr>
          <w:p w14:paraId="59A9D8AA">
            <w:pPr>
              <w:pStyle w:val="14"/>
              <w:spacing w:line="500" w:lineRule="exact"/>
              <w:jc w:val="left"/>
              <w:rPr>
                <w:rFonts w:ascii="宋体" w:hAnsi="宋体"/>
                <w:color w:val="auto"/>
                <w:szCs w:val="21"/>
                <w:highlight w:val="none"/>
              </w:rPr>
            </w:pPr>
          </w:p>
        </w:tc>
        <w:tc>
          <w:tcPr>
            <w:tcW w:w="2685" w:type="dxa"/>
            <w:vAlign w:val="center"/>
          </w:tcPr>
          <w:p w14:paraId="1C9BA38D">
            <w:pPr>
              <w:pStyle w:val="14"/>
              <w:spacing w:line="500" w:lineRule="exact"/>
              <w:jc w:val="left"/>
              <w:rPr>
                <w:rFonts w:ascii="宋体" w:hAnsi="宋体"/>
                <w:color w:val="auto"/>
                <w:szCs w:val="21"/>
                <w:highlight w:val="none"/>
              </w:rPr>
            </w:pPr>
          </w:p>
        </w:tc>
        <w:tc>
          <w:tcPr>
            <w:tcW w:w="1732" w:type="dxa"/>
            <w:vAlign w:val="center"/>
          </w:tcPr>
          <w:p w14:paraId="58B8CA6F">
            <w:pPr>
              <w:pStyle w:val="14"/>
              <w:spacing w:line="500" w:lineRule="exact"/>
              <w:jc w:val="left"/>
              <w:rPr>
                <w:rFonts w:ascii="宋体" w:hAnsi="宋体"/>
                <w:color w:val="auto"/>
                <w:szCs w:val="21"/>
                <w:highlight w:val="none"/>
              </w:rPr>
            </w:pPr>
          </w:p>
        </w:tc>
      </w:tr>
      <w:tr w14:paraId="4DC049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5128" w:type="dxa"/>
            <w:gridSpan w:val="2"/>
            <w:vAlign w:val="center"/>
          </w:tcPr>
          <w:p w14:paraId="4325877B">
            <w:pPr>
              <w:pStyle w:val="14"/>
              <w:spacing w:line="500" w:lineRule="exact"/>
              <w:jc w:val="left"/>
              <w:rPr>
                <w:rFonts w:ascii="宋体" w:hAnsi="宋体"/>
                <w:color w:val="auto"/>
                <w:szCs w:val="21"/>
                <w:highlight w:val="none"/>
              </w:rPr>
            </w:pPr>
            <w:r>
              <w:rPr>
                <w:rFonts w:hint="eastAsia" w:ascii="宋体" w:hAnsi="宋体"/>
                <w:color w:val="auto"/>
                <w:szCs w:val="21"/>
                <w:highlight w:val="none"/>
              </w:rPr>
              <w:t>发包人编制的最高竞包限价（如有）：</w:t>
            </w:r>
          </w:p>
        </w:tc>
        <w:tc>
          <w:tcPr>
            <w:tcW w:w="4417" w:type="dxa"/>
            <w:gridSpan w:val="2"/>
            <w:vAlign w:val="center"/>
          </w:tcPr>
          <w:p w14:paraId="5DF37203">
            <w:pPr>
              <w:pStyle w:val="14"/>
              <w:spacing w:line="500" w:lineRule="exact"/>
              <w:jc w:val="left"/>
              <w:rPr>
                <w:rFonts w:ascii="宋体" w:hAnsi="宋体"/>
                <w:color w:val="auto"/>
                <w:szCs w:val="21"/>
                <w:highlight w:val="none"/>
              </w:rPr>
            </w:pPr>
            <w:r>
              <w:rPr>
                <w:rFonts w:hint="eastAsia" w:ascii="宋体" w:hAnsi="宋体"/>
                <w:color w:val="auto"/>
                <w:szCs w:val="21"/>
                <w:highlight w:val="none"/>
              </w:rPr>
              <w:t>系数（如有）：</w:t>
            </w:r>
          </w:p>
        </w:tc>
      </w:tr>
    </w:tbl>
    <w:p w14:paraId="168A3CC6">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2572D03A">
      <w:pPr>
        <w:pStyle w:val="14"/>
        <w:spacing w:line="620" w:lineRule="exact"/>
        <w:rPr>
          <w:rFonts w:ascii="宋体" w:hAnsi="宋体"/>
          <w:color w:val="auto"/>
          <w:szCs w:val="21"/>
          <w:highlight w:val="none"/>
        </w:rPr>
      </w:pPr>
      <w:r>
        <w:rPr>
          <w:rFonts w:hint="eastAsia" w:ascii="宋体" w:hAnsi="宋体"/>
          <w:color w:val="auto"/>
          <w:szCs w:val="21"/>
          <w:highlight w:val="none"/>
        </w:rPr>
        <w:t xml:space="preserve">发包人代表：                                            记录人：             </w:t>
      </w:r>
    </w:p>
    <w:p w14:paraId="27756AD4">
      <w:pPr>
        <w:pStyle w:val="14"/>
        <w:spacing w:line="620" w:lineRule="exact"/>
        <w:rPr>
          <w:rFonts w:ascii="宋体" w:hAnsi="宋体"/>
          <w:color w:val="auto"/>
          <w:szCs w:val="21"/>
          <w:highlight w:val="none"/>
        </w:rPr>
      </w:pPr>
      <w:r>
        <w:rPr>
          <w:rFonts w:hint="eastAsia" w:ascii="宋体" w:hAnsi="宋体"/>
          <w:color w:val="auto"/>
          <w:szCs w:val="21"/>
          <w:highlight w:val="none"/>
        </w:rPr>
        <w:t xml:space="preserve">                                            年        月        日</w:t>
      </w:r>
    </w:p>
    <w:p w14:paraId="4D42E43D">
      <w:pPr>
        <w:pStyle w:val="14"/>
        <w:spacing w:line="440" w:lineRule="exact"/>
        <w:rPr>
          <w:rFonts w:ascii="宋体" w:hAnsi="宋体"/>
          <w:color w:val="auto"/>
          <w:szCs w:val="21"/>
          <w:highlight w:val="none"/>
        </w:rPr>
      </w:pPr>
      <w:r>
        <w:rPr>
          <w:rFonts w:hint="eastAsia" w:ascii="宋体" w:hAnsi="宋体"/>
          <w:color w:val="auto"/>
          <w:szCs w:val="21"/>
          <w:highlight w:val="none"/>
        </w:rPr>
        <w:br w:type="page"/>
      </w:r>
    </w:p>
    <w:p w14:paraId="6DAA187A">
      <w:pPr>
        <w:pStyle w:val="68"/>
        <w:outlineLvl w:val="1"/>
        <w:rPr>
          <w:rFonts w:ascii="宋体" w:hAnsi="宋体" w:eastAsia="宋体" w:cs="Times New Roman"/>
          <w:color w:val="auto"/>
          <w:sz w:val="21"/>
          <w:szCs w:val="21"/>
          <w:highlight w:val="none"/>
        </w:rPr>
      </w:pPr>
      <w:bookmarkStart w:id="507" w:name="_Toc24880"/>
      <w:bookmarkStart w:id="508" w:name="_Toc31332"/>
      <w:bookmarkStart w:id="509" w:name="_Toc32103"/>
      <w:bookmarkStart w:id="510" w:name="_Toc179632600"/>
      <w:bookmarkStart w:id="511" w:name="_Toc144974549"/>
      <w:bookmarkStart w:id="512" w:name="_Toc377"/>
      <w:bookmarkStart w:id="513" w:name="_Toc13187"/>
      <w:bookmarkStart w:id="514" w:name="_Toc152042359"/>
      <w:bookmarkStart w:id="515" w:name="_Toc152045582"/>
      <w:bookmarkStart w:id="516" w:name="_Toc7919"/>
      <w:r>
        <w:rPr>
          <w:rFonts w:hint="eastAsia" w:ascii="宋体" w:hAnsi="宋体" w:eastAsia="宋体" w:cs="Times New Roman"/>
          <w:color w:val="auto"/>
          <w:sz w:val="21"/>
          <w:szCs w:val="21"/>
          <w:highlight w:val="none"/>
        </w:rPr>
        <w:t>附表二：问题澄清通知</w:t>
      </w:r>
      <w:bookmarkEnd w:id="507"/>
      <w:bookmarkEnd w:id="508"/>
      <w:bookmarkEnd w:id="509"/>
      <w:bookmarkEnd w:id="510"/>
      <w:bookmarkEnd w:id="511"/>
      <w:bookmarkEnd w:id="512"/>
      <w:bookmarkEnd w:id="513"/>
      <w:bookmarkEnd w:id="514"/>
      <w:bookmarkEnd w:id="515"/>
      <w:bookmarkEnd w:id="516"/>
    </w:p>
    <w:p w14:paraId="1529B3A2">
      <w:pPr>
        <w:pStyle w:val="14"/>
        <w:spacing w:line="440" w:lineRule="exact"/>
        <w:jc w:val="center"/>
        <w:rPr>
          <w:rFonts w:ascii="宋体" w:hAnsi="宋体"/>
          <w:color w:val="auto"/>
          <w:szCs w:val="21"/>
          <w:highlight w:val="none"/>
        </w:rPr>
      </w:pPr>
    </w:p>
    <w:p w14:paraId="2A841483">
      <w:pPr>
        <w:pStyle w:val="14"/>
        <w:spacing w:line="440" w:lineRule="exact"/>
        <w:jc w:val="center"/>
        <w:rPr>
          <w:rFonts w:ascii="宋体" w:hAnsi="宋体"/>
          <w:color w:val="auto"/>
          <w:szCs w:val="21"/>
          <w:highlight w:val="none"/>
        </w:rPr>
      </w:pPr>
      <w:r>
        <w:rPr>
          <w:rFonts w:hint="eastAsia" w:ascii="宋体" w:hAnsi="宋体"/>
          <w:color w:val="auto"/>
          <w:szCs w:val="21"/>
          <w:highlight w:val="none"/>
        </w:rPr>
        <w:t>问题澄清通知</w:t>
      </w:r>
    </w:p>
    <w:p w14:paraId="1943D553">
      <w:pPr>
        <w:pStyle w:val="14"/>
        <w:spacing w:line="440" w:lineRule="exact"/>
        <w:jc w:val="center"/>
        <w:rPr>
          <w:rFonts w:ascii="宋体" w:hAnsi="宋体"/>
          <w:color w:val="auto"/>
          <w:szCs w:val="21"/>
          <w:highlight w:val="none"/>
        </w:rPr>
      </w:pPr>
      <w:r>
        <w:rPr>
          <w:rFonts w:hint="eastAsia" w:ascii="宋体" w:hAnsi="宋体"/>
          <w:color w:val="auto"/>
          <w:szCs w:val="21"/>
          <w:highlight w:val="none"/>
        </w:rPr>
        <w:t>编号：</w:t>
      </w:r>
    </w:p>
    <w:p w14:paraId="63CE3C5F">
      <w:pPr>
        <w:pStyle w:val="14"/>
        <w:spacing w:line="440" w:lineRule="exact"/>
        <w:rPr>
          <w:rFonts w:ascii="宋体" w:hAnsi="宋体"/>
          <w:color w:val="auto"/>
          <w:szCs w:val="21"/>
          <w:highlight w:val="none"/>
        </w:rPr>
      </w:pPr>
    </w:p>
    <w:p w14:paraId="0C6483DD">
      <w:pPr>
        <w:pStyle w:val="14"/>
        <w:spacing w:line="440" w:lineRule="exac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（竞包人名称）：</w:t>
      </w:r>
    </w:p>
    <w:p w14:paraId="7E281CBF">
      <w:pPr>
        <w:pStyle w:val="14"/>
        <w:spacing w:line="440" w:lineRule="exact"/>
        <w:rPr>
          <w:rFonts w:ascii="宋体" w:hAnsi="宋体"/>
          <w:color w:val="auto"/>
          <w:szCs w:val="21"/>
          <w:highlight w:val="none"/>
        </w:rPr>
      </w:pPr>
    </w:p>
    <w:p w14:paraId="29EB4A8A">
      <w:pPr>
        <w:pStyle w:val="14"/>
        <w:spacing w:line="440" w:lineRule="exact"/>
        <w:ind w:left="0" w:firstLine="840" w:firstLineChars="400"/>
        <w:rPr>
          <w:rFonts w:ascii="宋体" w:hAnsi="宋体"/>
          <w:color w:val="auto"/>
          <w:szCs w:val="21"/>
          <w:highlight w:val="none"/>
        </w:rPr>
      </w:pPr>
      <w:r>
        <w:rPr>
          <w:rFonts w:hint="eastAsia" w:ascii="宋体" w:hAnsi="宋体"/>
          <w:color w:val="auto"/>
          <w:szCs w:val="21"/>
          <w:highlight w:val="none"/>
          <w:u w:val="single"/>
        </w:rPr>
        <w:t xml:space="preserve">　　  　              （项目名称）    </w:t>
      </w:r>
      <w:r>
        <w:rPr>
          <w:rFonts w:hint="eastAsia" w:ascii="宋体" w:hAnsi="宋体"/>
          <w:color w:val="auto"/>
          <w:szCs w:val="21"/>
          <w:highlight w:val="none"/>
        </w:rPr>
        <w:t>标段设计发包的评标委员会，对你方的竞包文件进行了仔细的审查，现需你方对下列问题通过“交易平台”予以澄清或说明：</w:t>
      </w:r>
    </w:p>
    <w:p w14:paraId="0ABC4606">
      <w:pPr>
        <w:pStyle w:val="14"/>
        <w:spacing w:line="440" w:lineRule="exact"/>
        <w:rPr>
          <w:rFonts w:ascii="宋体" w:hAnsi="宋体"/>
          <w:color w:val="auto"/>
          <w:szCs w:val="21"/>
          <w:highlight w:val="none"/>
        </w:rPr>
      </w:pPr>
      <w:r>
        <w:rPr>
          <w:rFonts w:hint="eastAsia" w:ascii="宋体" w:hAnsi="宋体"/>
          <w:color w:val="auto"/>
          <w:szCs w:val="21"/>
          <w:highlight w:val="none"/>
        </w:rPr>
        <w:t>　　1.</w:t>
      </w:r>
    </w:p>
    <w:p w14:paraId="402EBE00">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2.</w:t>
      </w:r>
    </w:p>
    <w:p w14:paraId="0D80B839">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   </w:t>
      </w:r>
    </w:p>
    <w:p w14:paraId="7D931BF8">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7C59F808">
      <w:pPr>
        <w:pStyle w:val="14"/>
        <w:spacing w:line="440" w:lineRule="exact"/>
        <w:rPr>
          <w:rFonts w:ascii="宋体" w:hAnsi="宋体"/>
          <w:color w:val="auto"/>
          <w:szCs w:val="21"/>
          <w:highlight w:val="none"/>
        </w:rPr>
      </w:pPr>
      <w:r>
        <w:rPr>
          <w:rFonts w:hint="eastAsia" w:ascii="宋体" w:hAnsi="宋体"/>
          <w:color w:val="auto"/>
          <w:szCs w:val="21"/>
          <w:highlight w:val="none"/>
        </w:rPr>
        <w:t>　　请将上述问题的澄清于____年____月____日____时____分前通过“交易平台”递交。</w:t>
      </w:r>
    </w:p>
    <w:p w14:paraId="29F5A491">
      <w:pPr>
        <w:pStyle w:val="14"/>
        <w:spacing w:line="440" w:lineRule="exact"/>
        <w:rPr>
          <w:rFonts w:ascii="宋体" w:hAnsi="宋体"/>
          <w:color w:val="auto"/>
          <w:szCs w:val="21"/>
          <w:highlight w:val="none"/>
        </w:rPr>
      </w:pPr>
    </w:p>
    <w:p w14:paraId="2FE269FC">
      <w:pPr>
        <w:pStyle w:val="14"/>
        <w:spacing w:line="440" w:lineRule="exact"/>
        <w:rPr>
          <w:rFonts w:ascii="宋体" w:hAnsi="宋体"/>
          <w:color w:val="auto"/>
          <w:szCs w:val="21"/>
          <w:highlight w:val="none"/>
        </w:rPr>
      </w:pPr>
    </w:p>
    <w:p w14:paraId="7527E80A">
      <w:pPr>
        <w:pStyle w:val="14"/>
        <w:spacing w:line="440" w:lineRule="exact"/>
        <w:ind w:right="840"/>
        <w:jc w:val="center"/>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（项目名称）   </w:t>
      </w:r>
      <w:r>
        <w:rPr>
          <w:rFonts w:hint="eastAsia" w:ascii="宋体" w:hAnsi="宋体"/>
          <w:color w:val="auto"/>
          <w:szCs w:val="21"/>
          <w:highlight w:val="none"/>
        </w:rPr>
        <w:t>标段设计发包评标委员会</w:t>
      </w:r>
    </w:p>
    <w:p w14:paraId="2127FCFF">
      <w:pPr>
        <w:pStyle w:val="14"/>
        <w:spacing w:line="440" w:lineRule="exact"/>
        <w:ind w:right="840"/>
        <w:jc w:val="right"/>
        <w:rPr>
          <w:rFonts w:ascii="宋体" w:hAnsi="宋体"/>
          <w:color w:val="auto"/>
          <w:szCs w:val="21"/>
          <w:highlight w:val="none"/>
        </w:rPr>
      </w:pPr>
      <w:r>
        <w:rPr>
          <w:rFonts w:hint="eastAsia" w:ascii="宋体" w:hAnsi="宋体"/>
          <w:color w:val="auto"/>
          <w:szCs w:val="21"/>
          <w:highlight w:val="none"/>
        </w:rPr>
        <w:t xml:space="preserve">         年         月         日</w:t>
      </w:r>
    </w:p>
    <w:p w14:paraId="199C1151">
      <w:pPr>
        <w:pStyle w:val="14"/>
        <w:spacing w:line="400" w:lineRule="exact"/>
        <w:rPr>
          <w:rFonts w:ascii="宋体" w:hAnsi="宋体"/>
          <w:color w:val="auto"/>
          <w:szCs w:val="21"/>
          <w:highlight w:val="none"/>
        </w:rPr>
      </w:pPr>
    </w:p>
    <w:p w14:paraId="2DFE6382">
      <w:pPr>
        <w:pStyle w:val="14"/>
        <w:spacing w:line="440" w:lineRule="exact"/>
        <w:jc w:val="right"/>
        <w:rPr>
          <w:rFonts w:ascii="宋体" w:hAnsi="宋体"/>
          <w:color w:val="auto"/>
          <w:szCs w:val="21"/>
          <w:highlight w:val="none"/>
        </w:rPr>
      </w:pPr>
      <w:r>
        <w:rPr>
          <w:rFonts w:hint="eastAsia" w:ascii="宋体" w:hAnsi="宋体"/>
          <w:color w:val="auto"/>
          <w:szCs w:val="21"/>
          <w:highlight w:val="none"/>
        </w:rPr>
        <w:t xml:space="preserve">                                          </w:t>
      </w:r>
    </w:p>
    <w:p w14:paraId="44A79B12">
      <w:pPr>
        <w:pStyle w:val="14"/>
        <w:spacing w:line="440" w:lineRule="exact"/>
        <w:jc w:val="right"/>
        <w:rPr>
          <w:rFonts w:ascii="宋体" w:hAnsi="宋体"/>
          <w:color w:val="auto"/>
          <w:szCs w:val="21"/>
          <w:highlight w:val="none"/>
        </w:rPr>
      </w:pPr>
      <w:r>
        <w:rPr>
          <w:rFonts w:hint="eastAsia" w:ascii="宋体" w:hAnsi="宋体"/>
          <w:color w:val="auto"/>
          <w:szCs w:val="21"/>
          <w:highlight w:val="none"/>
        </w:rPr>
        <w:t xml:space="preserve">                              </w:t>
      </w:r>
    </w:p>
    <w:p w14:paraId="219DD7DF">
      <w:pPr>
        <w:pStyle w:val="14"/>
        <w:spacing w:line="400" w:lineRule="exact"/>
        <w:rPr>
          <w:rFonts w:ascii="宋体" w:hAnsi="宋体"/>
          <w:color w:val="auto"/>
          <w:szCs w:val="21"/>
          <w:highlight w:val="none"/>
        </w:rPr>
      </w:pPr>
      <w:r>
        <w:rPr>
          <w:rFonts w:hint="eastAsia" w:ascii="宋体" w:hAnsi="宋体"/>
          <w:color w:val="auto"/>
          <w:szCs w:val="21"/>
          <w:highlight w:val="none"/>
        </w:rPr>
        <w:br w:type="page"/>
      </w:r>
    </w:p>
    <w:p w14:paraId="5FD8EBAC">
      <w:pPr>
        <w:pStyle w:val="68"/>
        <w:outlineLvl w:val="1"/>
        <w:rPr>
          <w:rFonts w:ascii="宋体" w:hAnsi="宋体" w:eastAsia="宋体" w:cs="Times New Roman"/>
          <w:color w:val="auto"/>
          <w:sz w:val="21"/>
          <w:szCs w:val="21"/>
          <w:highlight w:val="none"/>
        </w:rPr>
      </w:pPr>
      <w:bookmarkStart w:id="517" w:name="_Toc21752"/>
      <w:bookmarkStart w:id="518" w:name="_Toc152042360"/>
      <w:bookmarkStart w:id="519" w:name="_Toc19173"/>
      <w:bookmarkStart w:id="520" w:name="_Toc144974550"/>
      <w:bookmarkStart w:id="521" w:name="_Toc3397"/>
      <w:bookmarkStart w:id="522" w:name="_Toc152045583"/>
      <w:bookmarkStart w:id="523" w:name="_Toc179632601"/>
      <w:bookmarkStart w:id="524" w:name="_Toc26705"/>
      <w:bookmarkStart w:id="525" w:name="_Toc30716"/>
      <w:bookmarkStart w:id="526" w:name="_Toc15841"/>
      <w:r>
        <w:rPr>
          <w:rFonts w:hint="eastAsia" w:ascii="宋体" w:hAnsi="宋体" w:eastAsia="宋体" w:cs="Times New Roman"/>
          <w:color w:val="auto"/>
          <w:sz w:val="21"/>
          <w:szCs w:val="21"/>
          <w:highlight w:val="none"/>
        </w:rPr>
        <w:t>附表三：问题的澄清</w:t>
      </w:r>
      <w:bookmarkEnd w:id="517"/>
      <w:bookmarkEnd w:id="518"/>
      <w:bookmarkEnd w:id="519"/>
      <w:bookmarkEnd w:id="520"/>
      <w:bookmarkEnd w:id="521"/>
      <w:bookmarkEnd w:id="522"/>
      <w:bookmarkEnd w:id="523"/>
      <w:bookmarkEnd w:id="524"/>
      <w:bookmarkEnd w:id="525"/>
      <w:bookmarkEnd w:id="526"/>
    </w:p>
    <w:p w14:paraId="1FC3EE9C">
      <w:pPr>
        <w:pStyle w:val="14"/>
        <w:spacing w:line="400" w:lineRule="exact"/>
        <w:jc w:val="center"/>
        <w:rPr>
          <w:rFonts w:ascii="宋体" w:hAnsi="宋体"/>
          <w:color w:val="auto"/>
          <w:szCs w:val="21"/>
          <w:highlight w:val="none"/>
        </w:rPr>
      </w:pPr>
    </w:p>
    <w:p w14:paraId="5FFE1036">
      <w:pPr>
        <w:pStyle w:val="14"/>
        <w:spacing w:line="400" w:lineRule="exact"/>
        <w:jc w:val="center"/>
        <w:rPr>
          <w:rFonts w:ascii="宋体" w:hAnsi="宋体"/>
          <w:color w:val="auto"/>
          <w:szCs w:val="21"/>
          <w:highlight w:val="none"/>
        </w:rPr>
      </w:pPr>
      <w:r>
        <w:rPr>
          <w:rFonts w:hint="eastAsia" w:ascii="宋体" w:hAnsi="宋体"/>
          <w:color w:val="auto"/>
          <w:szCs w:val="21"/>
          <w:highlight w:val="none"/>
        </w:rPr>
        <w:t>问题的澄清</w:t>
      </w:r>
    </w:p>
    <w:p w14:paraId="0D70664B">
      <w:pPr>
        <w:pStyle w:val="14"/>
        <w:spacing w:line="400" w:lineRule="exact"/>
        <w:jc w:val="center"/>
        <w:rPr>
          <w:rFonts w:ascii="宋体" w:hAnsi="宋体"/>
          <w:color w:val="auto"/>
          <w:szCs w:val="21"/>
          <w:highlight w:val="none"/>
        </w:rPr>
      </w:pPr>
      <w:r>
        <w:rPr>
          <w:rFonts w:hint="eastAsia" w:ascii="宋体" w:hAnsi="宋体"/>
          <w:color w:val="auto"/>
          <w:szCs w:val="21"/>
          <w:highlight w:val="none"/>
        </w:rPr>
        <w:t>编号：</w:t>
      </w:r>
    </w:p>
    <w:p w14:paraId="63C86DBE">
      <w:pPr>
        <w:pStyle w:val="14"/>
        <w:spacing w:line="400" w:lineRule="exact"/>
        <w:rPr>
          <w:rFonts w:ascii="宋体" w:hAnsi="宋体"/>
          <w:color w:val="auto"/>
          <w:szCs w:val="21"/>
          <w:highlight w:val="none"/>
        </w:rPr>
      </w:pPr>
    </w:p>
    <w:p w14:paraId="15BC1D06">
      <w:pPr>
        <w:pStyle w:val="14"/>
        <w:spacing w:line="440" w:lineRule="exact"/>
        <w:ind w:left="1518" w:leftChars="723" w:firstLine="367" w:firstLineChars="175"/>
        <w:rPr>
          <w:rFonts w:ascii="宋体" w:hAnsi="宋体"/>
          <w:color w:val="auto"/>
          <w:szCs w:val="21"/>
          <w:highlight w:val="none"/>
        </w:rPr>
      </w:pPr>
      <w:r>
        <w:rPr>
          <w:rFonts w:hint="eastAsia" w:ascii="宋体" w:hAnsi="宋体"/>
          <w:color w:val="auto"/>
          <w:szCs w:val="21"/>
          <w:highlight w:val="none"/>
        </w:rPr>
        <w:t>（项目名称）    标段设计发包评标委员会：</w:t>
      </w:r>
    </w:p>
    <w:p w14:paraId="048B79C6">
      <w:pPr>
        <w:pStyle w:val="14"/>
        <w:spacing w:line="440" w:lineRule="exact"/>
        <w:rPr>
          <w:rFonts w:ascii="宋体" w:hAnsi="宋体"/>
          <w:color w:val="auto"/>
          <w:szCs w:val="21"/>
          <w:highlight w:val="none"/>
        </w:rPr>
      </w:pPr>
    </w:p>
    <w:p w14:paraId="365E63DB">
      <w:pPr>
        <w:pStyle w:val="14"/>
        <w:spacing w:line="440" w:lineRule="exact"/>
        <w:rPr>
          <w:rFonts w:ascii="宋体" w:hAnsi="宋体"/>
          <w:color w:val="auto"/>
          <w:szCs w:val="21"/>
          <w:highlight w:val="none"/>
        </w:rPr>
      </w:pPr>
      <w:r>
        <w:rPr>
          <w:rFonts w:hint="eastAsia" w:ascii="宋体" w:hAnsi="宋体"/>
          <w:color w:val="auto"/>
          <w:szCs w:val="21"/>
          <w:highlight w:val="none"/>
        </w:rPr>
        <w:t>　　问题澄清通知（编号：        ）已收悉，现澄清、说明如下：</w:t>
      </w:r>
    </w:p>
    <w:p w14:paraId="0E4AB99A">
      <w:pPr>
        <w:pStyle w:val="14"/>
        <w:spacing w:line="440" w:lineRule="exact"/>
        <w:rPr>
          <w:rFonts w:ascii="宋体" w:hAnsi="宋体"/>
          <w:color w:val="auto"/>
          <w:szCs w:val="21"/>
          <w:highlight w:val="none"/>
        </w:rPr>
      </w:pPr>
      <w:r>
        <w:rPr>
          <w:rFonts w:hint="eastAsia" w:ascii="宋体" w:hAnsi="宋体"/>
          <w:color w:val="auto"/>
          <w:szCs w:val="21"/>
          <w:highlight w:val="none"/>
        </w:rPr>
        <w:t>　     1.</w:t>
      </w:r>
    </w:p>
    <w:p w14:paraId="1A4E5382">
      <w:pPr>
        <w:pStyle w:val="14"/>
        <w:spacing w:line="440" w:lineRule="exact"/>
        <w:rPr>
          <w:rFonts w:ascii="宋体" w:hAnsi="宋体"/>
          <w:color w:val="auto"/>
          <w:szCs w:val="21"/>
          <w:highlight w:val="none"/>
        </w:rPr>
      </w:pPr>
      <w:r>
        <w:rPr>
          <w:rFonts w:hint="eastAsia" w:ascii="宋体" w:hAnsi="宋体"/>
          <w:color w:val="auto"/>
          <w:szCs w:val="21"/>
          <w:highlight w:val="none"/>
        </w:rPr>
        <w:t>　     2.</w:t>
      </w:r>
    </w:p>
    <w:p w14:paraId="72A442E0">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w:t>
      </w:r>
    </w:p>
    <w:p w14:paraId="2FE33203">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44AE8B12">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w:t>
      </w:r>
    </w:p>
    <w:p w14:paraId="41EC50A8">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w:t>
      </w:r>
    </w:p>
    <w:p w14:paraId="0B131214">
      <w:pPr>
        <w:pStyle w:val="14"/>
        <w:spacing w:line="440" w:lineRule="exact"/>
        <w:rPr>
          <w:rFonts w:ascii="宋体" w:hAnsi="宋体"/>
          <w:color w:val="auto"/>
          <w:szCs w:val="21"/>
          <w:highlight w:val="none"/>
        </w:rPr>
      </w:pPr>
    </w:p>
    <w:p w14:paraId="3D2DA4E9">
      <w:pPr>
        <w:pStyle w:val="14"/>
        <w:spacing w:line="440" w:lineRule="exact"/>
        <w:rPr>
          <w:rFonts w:ascii="宋体" w:hAnsi="宋体"/>
          <w:color w:val="auto"/>
          <w:szCs w:val="21"/>
          <w:highlight w:val="none"/>
        </w:rPr>
      </w:pPr>
    </w:p>
    <w:p w14:paraId="4ABDD5F6">
      <w:pPr>
        <w:pStyle w:val="14"/>
        <w:spacing w:line="440" w:lineRule="exact"/>
        <w:rPr>
          <w:rFonts w:ascii="宋体" w:hAnsi="宋体"/>
          <w:color w:val="auto"/>
          <w:szCs w:val="21"/>
          <w:highlight w:val="none"/>
        </w:rPr>
      </w:pPr>
      <w:r>
        <w:rPr>
          <w:rFonts w:hint="eastAsia" w:ascii="宋体" w:hAnsi="宋体"/>
          <w:color w:val="auto"/>
          <w:szCs w:val="21"/>
          <w:highlight w:val="none"/>
        </w:rPr>
        <w:t>上述问题澄清或说明，不改变我方竞包文件的实质性内容，构成我方竞包文件的组成部分。</w:t>
      </w:r>
    </w:p>
    <w:p w14:paraId="317277B2">
      <w:pPr>
        <w:pStyle w:val="14"/>
        <w:spacing w:line="440" w:lineRule="exact"/>
        <w:rPr>
          <w:rFonts w:ascii="宋体" w:hAnsi="宋体"/>
          <w:color w:val="auto"/>
          <w:szCs w:val="21"/>
          <w:highlight w:val="none"/>
        </w:rPr>
      </w:pPr>
    </w:p>
    <w:p w14:paraId="445A0158">
      <w:pPr>
        <w:pStyle w:val="14"/>
        <w:spacing w:line="440" w:lineRule="exact"/>
        <w:rPr>
          <w:rFonts w:ascii="宋体" w:hAnsi="宋体"/>
          <w:color w:val="auto"/>
          <w:szCs w:val="21"/>
          <w:highlight w:val="none"/>
        </w:rPr>
      </w:pPr>
      <w:r>
        <w:rPr>
          <w:rFonts w:hint="eastAsia" w:ascii="宋体" w:hAnsi="宋体"/>
          <w:color w:val="auto"/>
          <w:szCs w:val="21"/>
          <w:highlight w:val="none"/>
        </w:rPr>
        <w:t>　　　　　　　　　　　　　　　竞包人：                  （盖单位印章）</w:t>
      </w:r>
    </w:p>
    <w:p w14:paraId="472070F3">
      <w:pPr>
        <w:pStyle w:val="14"/>
        <w:spacing w:line="440" w:lineRule="exact"/>
        <w:rPr>
          <w:rFonts w:ascii="宋体" w:hAnsi="宋体"/>
          <w:color w:val="auto"/>
          <w:szCs w:val="21"/>
          <w:highlight w:val="none"/>
        </w:rPr>
      </w:pPr>
      <w:r>
        <w:rPr>
          <w:rFonts w:hint="eastAsia" w:ascii="宋体" w:hAnsi="宋体"/>
          <w:color w:val="auto"/>
          <w:szCs w:val="21"/>
          <w:highlight w:val="none"/>
        </w:rPr>
        <w:t>　　　　　　　　　　　        法定代表人：          （盖法定代表人章）</w:t>
      </w:r>
    </w:p>
    <w:p w14:paraId="31979AFF">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5B4A846B">
      <w:pPr>
        <w:pStyle w:val="14"/>
        <w:spacing w:line="440" w:lineRule="exact"/>
        <w:rPr>
          <w:rFonts w:ascii="宋体" w:hAnsi="宋体"/>
          <w:color w:val="auto"/>
          <w:szCs w:val="21"/>
          <w:highlight w:val="none"/>
        </w:rPr>
      </w:pPr>
      <w:r>
        <w:rPr>
          <w:rFonts w:hint="eastAsia" w:ascii="宋体" w:hAnsi="宋体"/>
          <w:color w:val="auto"/>
          <w:szCs w:val="21"/>
          <w:highlight w:val="none"/>
        </w:rPr>
        <w:t>　　　　　　　　　　　　　　　                    年        月        日</w:t>
      </w:r>
    </w:p>
    <w:p w14:paraId="7E519D03">
      <w:pPr>
        <w:pStyle w:val="14"/>
        <w:spacing w:line="400" w:lineRule="exact"/>
        <w:rPr>
          <w:rFonts w:ascii="宋体" w:hAnsi="宋体"/>
          <w:color w:val="auto"/>
          <w:szCs w:val="21"/>
          <w:highlight w:val="none"/>
        </w:rPr>
      </w:pPr>
    </w:p>
    <w:p w14:paraId="2C33120E">
      <w:pPr>
        <w:pStyle w:val="14"/>
        <w:spacing w:line="400" w:lineRule="exact"/>
        <w:rPr>
          <w:rFonts w:ascii="宋体" w:hAnsi="宋体"/>
          <w:color w:val="auto"/>
          <w:szCs w:val="21"/>
          <w:highlight w:val="none"/>
        </w:rPr>
      </w:pPr>
      <w:r>
        <w:rPr>
          <w:rFonts w:hint="eastAsia" w:ascii="宋体" w:hAnsi="宋体"/>
          <w:color w:val="auto"/>
          <w:szCs w:val="21"/>
          <w:highlight w:val="none"/>
        </w:rPr>
        <w:br w:type="page"/>
      </w:r>
    </w:p>
    <w:p w14:paraId="7CD5DF4D">
      <w:pPr>
        <w:pStyle w:val="68"/>
        <w:outlineLvl w:val="1"/>
        <w:rPr>
          <w:rFonts w:ascii="宋体" w:hAnsi="宋体" w:eastAsia="宋体" w:cs="Times New Roman"/>
          <w:color w:val="auto"/>
          <w:sz w:val="21"/>
          <w:szCs w:val="21"/>
          <w:highlight w:val="none"/>
        </w:rPr>
      </w:pPr>
      <w:bookmarkStart w:id="527" w:name="_Toc179632602"/>
      <w:bookmarkStart w:id="528" w:name="_Toc144974551"/>
      <w:bookmarkStart w:id="529" w:name="_Toc152042361"/>
      <w:bookmarkStart w:id="530" w:name="_Toc152045584"/>
      <w:bookmarkStart w:id="531" w:name="_Toc3062"/>
      <w:bookmarkStart w:id="532" w:name="_Toc28343"/>
      <w:bookmarkStart w:id="533" w:name="_Toc8859"/>
      <w:bookmarkStart w:id="534" w:name="_Toc25738"/>
      <w:bookmarkStart w:id="535" w:name="_Toc17840"/>
      <w:bookmarkStart w:id="536" w:name="_Toc13031"/>
      <w:r>
        <w:rPr>
          <w:rFonts w:hint="eastAsia" w:ascii="宋体" w:hAnsi="宋体" w:eastAsia="宋体" w:cs="Times New Roman"/>
          <w:color w:val="auto"/>
          <w:sz w:val="21"/>
          <w:szCs w:val="21"/>
          <w:highlight w:val="none"/>
        </w:rPr>
        <w:t>附表四：</w:t>
      </w:r>
      <w:bookmarkEnd w:id="527"/>
      <w:bookmarkEnd w:id="528"/>
      <w:bookmarkEnd w:id="529"/>
      <w:bookmarkEnd w:id="530"/>
      <w:r>
        <w:rPr>
          <w:rFonts w:hint="eastAsia" w:ascii="宋体" w:hAnsi="宋体" w:eastAsia="宋体" w:cs="Times New Roman"/>
          <w:color w:val="auto"/>
          <w:sz w:val="21"/>
          <w:szCs w:val="21"/>
          <w:highlight w:val="none"/>
        </w:rPr>
        <w:t>中包通知书</w:t>
      </w:r>
      <w:bookmarkEnd w:id="531"/>
      <w:bookmarkEnd w:id="532"/>
      <w:bookmarkEnd w:id="533"/>
      <w:bookmarkEnd w:id="534"/>
      <w:bookmarkEnd w:id="535"/>
      <w:bookmarkEnd w:id="536"/>
    </w:p>
    <w:p w14:paraId="2AB509FB">
      <w:pPr>
        <w:pStyle w:val="14"/>
        <w:rPr>
          <w:rFonts w:ascii="宋体" w:hAnsi="宋体"/>
          <w:color w:val="auto"/>
          <w:szCs w:val="21"/>
          <w:highlight w:val="none"/>
        </w:rPr>
      </w:pPr>
    </w:p>
    <w:p w14:paraId="38B050C8">
      <w:pPr>
        <w:pStyle w:val="14"/>
        <w:spacing w:line="400" w:lineRule="exact"/>
        <w:rPr>
          <w:rFonts w:ascii="宋体" w:hAnsi="宋体"/>
          <w:color w:val="auto"/>
          <w:szCs w:val="21"/>
          <w:highlight w:val="none"/>
        </w:rPr>
      </w:pPr>
    </w:p>
    <w:p w14:paraId="0491A2D5">
      <w:pPr>
        <w:pStyle w:val="14"/>
        <w:spacing w:line="400" w:lineRule="exact"/>
        <w:jc w:val="center"/>
        <w:rPr>
          <w:rFonts w:ascii="宋体" w:hAnsi="宋体"/>
          <w:color w:val="auto"/>
          <w:szCs w:val="21"/>
          <w:highlight w:val="none"/>
        </w:rPr>
      </w:pPr>
      <w:r>
        <w:rPr>
          <w:rFonts w:hint="eastAsia" w:ascii="宋体" w:hAnsi="宋体"/>
          <w:color w:val="auto"/>
          <w:szCs w:val="21"/>
          <w:highlight w:val="none"/>
        </w:rPr>
        <w:t>中包通知书</w:t>
      </w:r>
    </w:p>
    <w:p w14:paraId="563471DA">
      <w:pPr>
        <w:pStyle w:val="14"/>
        <w:spacing w:line="400" w:lineRule="exact"/>
        <w:rPr>
          <w:rFonts w:ascii="宋体" w:hAnsi="宋体"/>
          <w:color w:val="auto"/>
          <w:szCs w:val="21"/>
          <w:highlight w:val="none"/>
        </w:rPr>
      </w:pPr>
      <w:r>
        <w:rPr>
          <w:rFonts w:hint="eastAsia" w:ascii="宋体" w:hAnsi="宋体"/>
          <w:color w:val="auto"/>
          <w:szCs w:val="21"/>
          <w:highlight w:val="none"/>
        </w:rPr>
        <w:t xml:space="preserve">                              </w:t>
      </w:r>
    </w:p>
    <w:p w14:paraId="29E32A52">
      <w:pPr>
        <w:pStyle w:val="14"/>
        <w:spacing w:line="440" w:lineRule="exact"/>
        <w:ind w:left="0" w:firstLine="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（中包人名称）：</w:t>
      </w:r>
    </w:p>
    <w:p w14:paraId="72EBD363">
      <w:pPr>
        <w:pStyle w:val="14"/>
        <w:spacing w:line="440" w:lineRule="exact"/>
        <w:rPr>
          <w:rFonts w:ascii="宋体" w:hAnsi="宋体"/>
          <w:color w:val="auto"/>
          <w:szCs w:val="21"/>
          <w:highlight w:val="none"/>
        </w:rPr>
      </w:pPr>
    </w:p>
    <w:p w14:paraId="1A718BAD">
      <w:pPr>
        <w:pStyle w:val="14"/>
        <w:spacing w:line="440" w:lineRule="exact"/>
        <w:ind w:left="0" w:firstLine="420" w:firstLineChars="200"/>
        <w:rPr>
          <w:rFonts w:ascii="宋体" w:hAnsi="宋体"/>
          <w:color w:val="auto"/>
          <w:szCs w:val="21"/>
          <w:highlight w:val="none"/>
        </w:rPr>
      </w:pPr>
      <w:r>
        <w:rPr>
          <w:rFonts w:hint="eastAsia" w:ascii="宋体" w:hAnsi="宋体"/>
          <w:color w:val="auto"/>
          <w:szCs w:val="21"/>
          <w:highlight w:val="none"/>
        </w:rPr>
        <w:t>你方于</w:t>
      </w:r>
      <w:r>
        <w:rPr>
          <w:rFonts w:hint="eastAsia" w:ascii="宋体" w:hAnsi="宋体"/>
          <w:color w:val="auto"/>
          <w:szCs w:val="21"/>
          <w:highlight w:val="none"/>
          <w:u w:val="single"/>
        </w:rPr>
        <w:t xml:space="preserve">         </w:t>
      </w:r>
      <w:r>
        <w:rPr>
          <w:rFonts w:hint="eastAsia" w:ascii="宋体" w:hAnsi="宋体"/>
          <w:color w:val="auto"/>
          <w:szCs w:val="21"/>
          <w:highlight w:val="none"/>
        </w:rPr>
        <w:t>（竞包日期）所递交的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标段设计竞包文件已被我方接受，被确定为中包人。</w:t>
      </w:r>
    </w:p>
    <w:p w14:paraId="31D2A2BA">
      <w:pPr>
        <w:pStyle w:val="14"/>
        <w:spacing w:line="440" w:lineRule="exact"/>
        <w:rPr>
          <w:rFonts w:ascii="宋体" w:hAnsi="宋体"/>
          <w:color w:val="auto"/>
          <w:szCs w:val="21"/>
          <w:highlight w:val="none"/>
        </w:rPr>
      </w:pPr>
      <w:r>
        <w:rPr>
          <w:rFonts w:hint="eastAsia" w:ascii="宋体" w:hAnsi="宋体"/>
          <w:color w:val="auto"/>
          <w:szCs w:val="21"/>
          <w:highlight w:val="none"/>
        </w:rPr>
        <w:t>　　中包价：</w:t>
      </w:r>
      <w:r>
        <w:rPr>
          <w:rFonts w:hint="eastAsia" w:ascii="宋体" w:hAnsi="宋体"/>
          <w:color w:val="auto"/>
          <w:szCs w:val="21"/>
          <w:highlight w:val="none"/>
          <w:u w:val="single"/>
        </w:rPr>
        <w:t xml:space="preserve">         </w:t>
      </w:r>
      <w:r>
        <w:rPr>
          <w:rFonts w:hint="eastAsia" w:ascii="宋体" w:hAnsi="宋体"/>
          <w:color w:val="auto"/>
          <w:szCs w:val="21"/>
          <w:highlight w:val="none"/>
        </w:rPr>
        <w:t>元。</w:t>
      </w:r>
    </w:p>
    <w:p w14:paraId="1DA23AC2">
      <w:pPr>
        <w:pStyle w:val="14"/>
        <w:spacing w:line="440" w:lineRule="exact"/>
        <w:rPr>
          <w:rFonts w:ascii="宋体" w:hAnsi="宋体"/>
          <w:color w:val="auto"/>
          <w:szCs w:val="21"/>
          <w:highlight w:val="none"/>
        </w:rPr>
      </w:pPr>
      <w:r>
        <w:rPr>
          <w:rFonts w:hint="eastAsia" w:ascii="宋体" w:hAnsi="宋体"/>
          <w:color w:val="auto"/>
          <w:szCs w:val="21"/>
          <w:highlight w:val="none"/>
        </w:rPr>
        <w:t>　　设计服务期限：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（其中设计周期：</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24E9AF7E">
      <w:pPr>
        <w:pStyle w:val="14"/>
        <w:spacing w:line="440" w:lineRule="exact"/>
        <w:ind w:left="1360" w:leftChars="523" w:hanging="262" w:hangingChars="125"/>
        <w:rPr>
          <w:rFonts w:ascii="宋体" w:hAnsi="宋体"/>
          <w:color w:val="auto"/>
          <w:szCs w:val="21"/>
          <w:highlight w:val="none"/>
        </w:rPr>
      </w:pPr>
      <w:r>
        <w:rPr>
          <w:rFonts w:hint="eastAsia" w:ascii="宋体" w:hAnsi="宋体"/>
          <w:color w:val="auto"/>
          <w:szCs w:val="21"/>
          <w:highlight w:val="none"/>
        </w:rPr>
        <w:t>质量要求：</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FB5B49B">
      <w:pPr>
        <w:pStyle w:val="14"/>
        <w:spacing w:line="440" w:lineRule="exact"/>
        <w:ind w:left="1360" w:leftChars="523" w:hanging="262" w:hangingChars="125"/>
        <w:rPr>
          <w:rFonts w:ascii="宋体" w:hAnsi="宋体"/>
          <w:color w:val="auto"/>
          <w:szCs w:val="21"/>
          <w:highlight w:val="none"/>
        </w:rPr>
      </w:pPr>
      <w:r>
        <w:rPr>
          <w:rFonts w:hint="eastAsia" w:ascii="宋体" w:hAnsi="宋体"/>
          <w:color w:val="auto"/>
          <w:szCs w:val="21"/>
          <w:highlight w:val="none"/>
        </w:rPr>
        <w:t>安全目标：</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14:paraId="6AF48866">
      <w:pPr>
        <w:pStyle w:val="14"/>
        <w:spacing w:line="440" w:lineRule="exact"/>
        <w:ind w:left="1360" w:leftChars="523" w:hanging="262" w:hangingChars="125"/>
        <w:rPr>
          <w:rFonts w:ascii="宋体" w:hAnsi="宋体"/>
          <w:color w:val="auto"/>
          <w:szCs w:val="21"/>
          <w:highlight w:val="none"/>
        </w:rPr>
      </w:pPr>
      <w:r>
        <w:rPr>
          <w:rFonts w:hint="eastAsia" w:ascii="宋体" w:hAnsi="宋体"/>
          <w:color w:val="auto"/>
          <w:szCs w:val="21"/>
          <w:highlight w:val="none"/>
        </w:rPr>
        <w:t>项目负责人：</w:t>
      </w:r>
      <w:r>
        <w:rPr>
          <w:rFonts w:hint="eastAsia" w:ascii="宋体" w:hAnsi="宋体"/>
          <w:color w:val="auto"/>
          <w:szCs w:val="21"/>
          <w:highlight w:val="none"/>
          <w:u w:val="single"/>
        </w:rPr>
        <w:t xml:space="preserve">         </w:t>
      </w:r>
      <w:r>
        <w:rPr>
          <w:rFonts w:hint="eastAsia" w:ascii="宋体" w:hAnsi="宋体"/>
          <w:color w:val="auto"/>
          <w:szCs w:val="21"/>
          <w:highlight w:val="none"/>
        </w:rPr>
        <w:t>（姓名）。</w:t>
      </w:r>
    </w:p>
    <w:p w14:paraId="4743672D">
      <w:pPr>
        <w:pStyle w:val="14"/>
        <w:spacing w:line="440" w:lineRule="exact"/>
        <w:ind w:left="0" w:firstLine="420" w:firstLineChars="200"/>
        <w:rPr>
          <w:rFonts w:ascii="宋体" w:hAnsi="宋体"/>
          <w:color w:val="auto"/>
          <w:szCs w:val="21"/>
          <w:highlight w:val="none"/>
        </w:rPr>
      </w:pPr>
      <w:r>
        <w:rPr>
          <w:rFonts w:hint="eastAsia" w:ascii="宋体" w:hAnsi="宋体"/>
          <w:color w:val="auto"/>
          <w:szCs w:val="21"/>
          <w:highlight w:val="none"/>
        </w:rPr>
        <w:t>请你方在接到本通知书后的</w:t>
      </w:r>
      <w:r>
        <w:rPr>
          <w:rFonts w:hint="eastAsia" w:ascii="宋体" w:hAnsi="宋体"/>
          <w:color w:val="auto"/>
          <w:szCs w:val="21"/>
          <w:highlight w:val="none"/>
          <w:u w:val="single"/>
        </w:rPr>
        <w:t xml:space="preserve">         </w:t>
      </w:r>
      <w:r>
        <w:rPr>
          <w:rFonts w:hint="eastAsia" w:ascii="宋体" w:hAnsi="宋体"/>
          <w:color w:val="auto"/>
          <w:szCs w:val="21"/>
          <w:highlight w:val="none"/>
        </w:rPr>
        <w:t>日内到</w:t>
      </w:r>
      <w:r>
        <w:rPr>
          <w:rFonts w:hint="eastAsia" w:ascii="宋体" w:hAnsi="宋体"/>
          <w:color w:val="auto"/>
          <w:szCs w:val="21"/>
          <w:highlight w:val="none"/>
          <w:u w:val="single"/>
        </w:rPr>
        <w:t xml:space="preserve">         </w:t>
      </w:r>
      <w:r>
        <w:rPr>
          <w:rFonts w:hint="eastAsia" w:ascii="宋体" w:hAnsi="宋体"/>
          <w:color w:val="auto"/>
          <w:szCs w:val="21"/>
          <w:highlight w:val="none"/>
        </w:rPr>
        <w:t>（指定地点）与我方签订设计合同，并按发包文件第二章“竞包人须知”第7.8款规定向我方提交履约保证金。</w:t>
      </w:r>
    </w:p>
    <w:p w14:paraId="25DBBDD8">
      <w:pPr>
        <w:pStyle w:val="14"/>
        <w:spacing w:line="440" w:lineRule="exact"/>
        <w:rPr>
          <w:rFonts w:ascii="宋体" w:hAnsi="宋体"/>
          <w:color w:val="auto"/>
          <w:szCs w:val="21"/>
          <w:highlight w:val="none"/>
        </w:rPr>
      </w:pPr>
      <w:r>
        <w:rPr>
          <w:rFonts w:hint="eastAsia" w:ascii="宋体" w:hAnsi="宋体"/>
          <w:color w:val="auto"/>
          <w:szCs w:val="21"/>
          <w:highlight w:val="none"/>
        </w:rPr>
        <w:t>　　特此通知。</w:t>
      </w:r>
    </w:p>
    <w:p w14:paraId="55650492">
      <w:pPr>
        <w:pStyle w:val="14"/>
        <w:spacing w:line="440" w:lineRule="exact"/>
        <w:rPr>
          <w:rFonts w:ascii="宋体" w:hAnsi="宋体"/>
          <w:color w:val="auto"/>
          <w:szCs w:val="21"/>
          <w:highlight w:val="none"/>
        </w:rPr>
      </w:pPr>
    </w:p>
    <w:p w14:paraId="6662BC4D">
      <w:pPr>
        <w:pStyle w:val="14"/>
        <w:spacing w:line="440" w:lineRule="exact"/>
        <w:rPr>
          <w:rFonts w:ascii="宋体" w:hAnsi="宋体"/>
          <w:color w:val="auto"/>
          <w:szCs w:val="21"/>
          <w:highlight w:val="none"/>
        </w:rPr>
      </w:pPr>
    </w:p>
    <w:p w14:paraId="21340E5C">
      <w:pPr>
        <w:pStyle w:val="14"/>
        <w:spacing w:line="540" w:lineRule="exact"/>
        <w:jc w:val="right"/>
        <w:rPr>
          <w:rFonts w:ascii="宋体" w:hAnsi="宋体"/>
          <w:color w:val="auto"/>
          <w:szCs w:val="21"/>
          <w:highlight w:val="none"/>
        </w:rPr>
      </w:pPr>
      <w:r>
        <w:rPr>
          <w:rFonts w:hint="eastAsia" w:ascii="宋体" w:hAnsi="宋体"/>
          <w:color w:val="auto"/>
          <w:szCs w:val="21"/>
          <w:highlight w:val="none"/>
        </w:rPr>
        <w:t>发包人：</w:t>
      </w:r>
      <w:r>
        <w:rPr>
          <w:rFonts w:hint="eastAsia" w:ascii="宋体" w:hAnsi="宋体"/>
          <w:color w:val="auto"/>
          <w:szCs w:val="21"/>
          <w:highlight w:val="none"/>
          <w:u w:val="single"/>
        </w:rPr>
        <w:t xml:space="preserve">         </w:t>
      </w:r>
      <w:r>
        <w:rPr>
          <w:rFonts w:hint="eastAsia" w:ascii="宋体" w:hAnsi="宋体"/>
          <w:color w:val="auto"/>
          <w:szCs w:val="21"/>
          <w:highlight w:val="none"/>
        </w:rPr>
        <w:t>（盖单位印章）</w:t>
      </w:r>
    </w:p>
    <w:p w14:paraId="2CE91D6A">
      <w:pPr>
        <w:pStyle w:val="14"/>
        <w:spacing w:line="540" w:lineRule="exact"/>
        <w:ind w:firstLine="3238" w:firstLineChars="1542"/>
        <w:rPr>
          <w:rFonts w:ascii="宋体" w:hAnsi="宋体"/>
          <w:color w:val="auto"/>
          <w:szCs w:val="21"/>
          <w:highlight w:val="none"/>
        </w:rPr>
      </w:pPr>
      <w:r>
        <w:rPr>
          <w:rFonts w:hint="eastAsia" w:ascii="宋体" w:hAnsi="宋体"/>
          <w:color w:val="auto"/>
          <w:szCs w:val="21"/>
          <w:highlight w:val="none"/>
        </w:rPr>
        <w:t>发包代理机构：</w:t>
      </w:r>
      <w:r>
        <w:rPr>
          <w:rFonts w:hint="eastAsia" w:ascii="宋体" w:hAnsi="宋体"/>
          <w:color w:val="auto"/>
          <w:szCs w:val="21"/>
          <w:highlight w:val="none"/>
          <w:u w:val="single"/>
        </w:rPr>
        <w:t xml:space="preserve">         </w:t>
      </w:r>
      <w:r>
        <w:rPr>
          <w:rFonts w:hint="eastAsia" w:ascii="宋体" w:hAnsi="宋体"/>
          <w:color w:val="auto"/>
          <w:szCs w:val="21"/>
          <w:highlight w:val="none"/>
        </w:rPr>
        <w:t>（盖单位印章）</w:t>
      </w:r>
    </w:p>
    <w:p w14:paraId="0C89CFDF">
      <w:pPr>
        <w:pStyle w:val="14"/>
        <w:spacing w:line="540" w:lineRule="exact"/>
        <w:ind w:firstLine="3548" w:firstLineChars="1690"/>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0F1DF675">
      <w:pPr>
        <w:pStyle w:val="14"/>
        <w:spacing w:line="400" w:lineRule="exact"/>
        <w:rPr>
          <w:rFonts w:ascii="宋体" w:hAnsi="宋体"/>
          <w:color w:val="auto"/>
          <w:szCs w:val="21"/>
          <w:highlight w:val="none"/>
        </w:rPr>
      </w:pPr>
    </w:p>
    <w:p w14:paraId="7CA1A5C0">
      <w:pPr>
        <w:pStyle w:val="14"/>
        <w:spacing w:line="400" w:lineRule="exact"/>
        <w:rPr>
          <w:rFonts w:ascii="宋体" w:hAnsi="宋体"/>
          <w:color w:val="auto"/>
          <w:szCs w:val="21"/>
          <w:highlight w:val="none"/>
        </w:rPr>
      </w:pPr>
      <w:r>
        <w:rPr>
          <w:rFonts w:hint="eastAsia" w:ascii="宋体" w:hAnsi="宋体"/>
          <w:color w:val="auto"/>
          <w:szCs w:val="21"/>
          <w:highlight w:val="none"/>
        </w:rPr>
        <w:br w:type="page"/>
      </w:r>
    </w:p>
    <w:p w14:paraId="5387F458">
      <w:pPr>
        <w:pStyle w:val="68"/>
        <w:outlineLvl w:val="1"/>
        <w:rPr>
          <w:rFonts w:ascii="宋体" w:hAnsi="宋体" w:eastAsia="宋体" w:cs="Times New Roman"/>
          <w:color w:val="auto"/>
          <w:sz w:val="21"/>
          <w:szCs w:val="21"/>
          <w:highlight w:val="none"/>
        </w:rPr>
      </w:pPr>
      <w:bookmarkStart w:id="537" w:name="_Toc144974552"/>
      <w:bookmarkStart w:id="538" w:name="_Toc179632603"/>
      <w:bookmarkStart w:id="539" w:name="_Toc152045585"/>
      <w:bookmarkStart w:id="540" w:name="_Toc152042362"/>
      <w:bookmarkStart w:id="541" w:name="_Toc4737"/>
      <w:bookmarkStart w:id="542" w:name="_Toc6583"/>
      <w:bookmarkStart w:id="543" w:name="_Toc2940"/>
      <w:bookmarkStart w:id="544" w:name="_Toc23735"/>
      <w:bookmarkStart w:id="545" w:name="_Toc31770"/>
      <w:bookmarkStart w:id="546" w:name="_Toc22959"/>
      <w:r>
        <w:rPr>
          <w:rFonts w:hint="eastAsia" w:ascii="宋体" w:hAnsi="宋体" w:eastAsia="宋体" w:cs="Times New Roman"/>
          <w:color w:val="auto"/>
          <w:sz w:val="21"/>
          <w:szCs w:val="21"/>
          <w:highlight w:val="none"/>
        </w:rPr>
        <w:t>附表五：</w:t>
      </w:r>
      <w:bookmarkEnd w:id="537"/>
      <w:bookmarkEnd w:id="538"/>
      <w:bookmarkEnd w:id="539"/>
      <w:bookmarkEnd w:id="540"/>
      <w:r>
        <w:rPr>
          <w:rFonts w:hint="eastAsia" w:ascii="宋体" w:hAnsi="宋体" w:eastAsia="宋体" w:cs="Times New Roman"/>
          <w:color w:val="auto"/>
          <w:sz w:val="21"/>
          <w:szCs w:val="21"/>
          <w:highlight w:val="none"/>
        </w:rPr>
        <w:t>中包结果通知书</w:t>
      </w:r>
      <w:bookmarkEnd w:id="541"/>
      <w:bookmarkEnd w:id="542"/>
      <w:bookmarkEnd w:id="543"/>
      <w:bookmarkEnd w:id="544"/>
      <w:bookmarkEnd w:id="545"/>
      <w:bookmarkEnd w:id="546"/>
    </w:p>
    <w:p w14:paraId="1CE4D556">
      <w:pPr>
        <w:pStyle w:val="14"/>
        <w:rPr>
          <w:rFonts w:ascii="宋体" w:hAnsi="宋体"/>
          <w:color w:val="auto"/>
          <w:szCs w:val="21"/>
          <w:highlight w:val="none"/>
        </w:rPr>
      </w:pPr>
    </w:p>
    <w:p w14:paraId="602C5A27">
      <w:pPr>
        <w:pStyle w:val="14"/>
        <w:spacing w:line="400" w:lineRule="exact"/>
        <w:rPr>
          <w:rFonts w:ascii="宋体" w:hAnsi="宋体"/>
          <w:color w:val="auto"/>
          <w:szCs w:val="21"/>
          <w:highlight w:val="none"/>
        </w:rPr>
      </w:pPr>
    </w:p>
    <w:p w14:paraId="4B9DAA6A">
      <w:pPr>
        <w:pStyle w:val="14"/>
        <w:spacing w:line="400" w:lineRule="exact"/>
        <w:jc w:val="center"/>
        <w:rPr>
          <w:rFonts w:ascii="宋体" w:hAnsi="宋体"/>
          <w:color w:val="auto"/>
          <w:szCs w:val="21"/>
          <w:highlight w:val="none"/>
        </w:rPr>
      </w:pPr>
      <w:r>
        <w:rPr>
          <w:rFonts w:hint="eastAsia" w:ascii="宋体" w:hAnsi="宋体"/>
          <w:color w:val="auto"/>
          <w:szCs w:val="21"/>
          <w:highlight w:val="none"/>
        </w:rPr>
        <w:t>中包结果通知书</w:t>
      </w:r>
    </w:p>
    <w:p w14:paraId="69A2496D">
      <w:pPr>
        <w:pStyle w:val="14"/>
        <w:spacing w:line="400" w:lineRule="exact"/>
        <w:rPr>
          <w:rFonts w:ascii="宋体" w:hAnsi="宋体"/>
          <w:color w:val="auto"/>
          <w:szCs w:val="21"/>
          <w:highlight w:val="none"/>
        </w:rPr>
      </w:pPr>
    </w:p>
    <w:p w14:paraId="5870CD4F">
      <w:pPr>
        <w:pStyle w:val="14"/>
        <w:spacing w:line="440" w:lineRule="exact"/>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（未中包人名称）：</w:t>
      </w:r>
    </w:p>
    <w:p w14:paraId="6EA2EED7">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w:t>
      </w:r>
    </w:p>
    <w:p w14:paraId="24D06FED">
      <w:pPr>
        <w:pStyle w:val="14"/>
        <w:spacing w:line="440" w:lineRule="exact"/>
        <w:ind w:left="0" w:firstLine="420" w:firstLineChars="200"/>
        <w:rPr>
          <w:rFonts w:ascii="宋体" w:hAnsi="宋体"/>
          <w:color w:val="auto"/>
          <w:szCs w:val="21"/>
          <w:highlight w:val="none"/>
        </w:rPr>
      </w:pPr>
      <w:r>
        <w:rPr>
          <w:rFonts w:hint="eastAsia" w:ascii="宋体" w:hAnsi="宋体"/>
          <w:color w:val="auto"/>
          <w:szCs w:val="21"/>
          <w:highlight w:val="none"/>
        </w:rPr>
        <w:t>我方已接受</w:t>
      </w:r>
      <w:r>
        <w:rPr>
          <w:rFonts w:hint="eastAsia" w:ascii="宋体" w:hAnsi="宋体"/>
          <w:color w:val="auto"/>
          <w:szCs w:val="21"/>
          <w:highlight w:val="none"/>
          <w:u w:val="single"/>
        </w:rPr>
        <w:t xml:space="preserve">          </w:t>
      </w:r>
      <w:r>
        <w:rPr>
          <w:rFonts w:hint="eastAsia" w:ascii="宋体" w:hAnsi="宋体"/>
          <w:color w:val="auto"/>
          <w:szCs w:val="21"/>
          <w:highlight w:val="none"/>
        </w:rPr>
        <w:t>（中包人名称）于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（竞包日期）所递交的 </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标段设计竞包文件，确定</w:t>
      </w:r>
      <w:r>
        <w:rPr>
          <w:rFonts w:hint="eastAsia" w:ascii="宋体" w:hAnsi="宋体"/>
          <w:color w:val="auto"/>
          <w:szCs w:val="21"/>
          <w:highlight w:val="none"/>
          <w:u w:val="single"/>
        </w:rPr>
        <w:t xml:space="preserve">              </w:t>
      </w:r>
      <w:r>
        <w:rPr>
          <w:rFonts w:hint="eastAsia" w:ascii="宋体" w:hAnsi="宋体"/>
          <w:color w:val="auto"/>
          <w:szCs w:val="21"/>
          <w:highlight w:val="none"/>
        </w:rPr>
        <w:t>（中包人名称）为中包人。</w:t>
      </w:r>
    </w:p>
    <w:p w14:paraId="79372A57">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17348B2A">
      <w:pPr>
        <w:pStyle w:val="14"/>
        <w:spacing w:line="440" w:lineRule="exact"/>
        <w:rPr>
          <w:rFonts w:ascii="宋体" w:hAnsi="宋体"/>
          <w:color w:val="auto"/>
          <w:szCs w:val="21"/>
          <w:highlight w:val="none"/>
        </w:rPr>
      </w:pPr>
      <w:r>
        <w:rPr>
          <w:rFonts w:hint="eastAsia" w:ascii="宋体" w:hAnsi="宋体"/>
          <w:color w:val="auto"/>
          <w:szCs w:val="21"/>
          <w:highlight w:val="none"/>
        </w:rPr>
        <w:t>　　感谢你单位对发包项目的参与！</w:t>
      </w:r>
    </w:p>
    <w:p w14:paraId="3DDECBDB">
      <w:pPr>
        <w:pStyle w:val="14"/>
        <w:spacing w:line="440" w:lineRule="exact"/>
        <w:rPr>
          <w:rFonts w:ascii="宋体" w:hAnsi="宋体"/>
          <w:color w:val="auto"/>
          <w:szCs w:val="21"/>
          <w:highlight w:val="none"/>
        </w:rPr>
      </w:pPr>
    </w:p>
    <w:p w14:paraId="695D286E">
      <w:pPr>
        <w:pStyle w:val="14"/>
        <w:spacing w:line="440" w:lineRule="exact"/>
        <w:rPr>
          <w:rFonts w:ascii="宋体" w:hAnsi="宋体"/>
          <w:color w:val="auto"/>
          <w:szCs w:val="21"/>
          <w:highlight w:val="none"/>
        </w:rPr>
      </w:pPr>
    </w:p>
    <w:p w14:paraId="3D26877B">
      <w:pPr>
        <w:pStyle w:val="14"/>
        <w:spacing w:line="440" w:lineRule="exact"/>
        <w:rPr>
          <w:rFonts w:ascii="宋体" w:hAnsi="宋体"/>
          <w:color w:val="auto"/>
          <w:szCs w:val="21"/>
          <w:highlight w:val="none"/>
        </w:rPr>
      </w:pPr>
    </w:p>
    <w:p w14:paraId="4A8A0C0D">
      <w:pPr>
        <w:pStyle w:val="14"/>
        <w:spacing w:line="540" w:lineRule="exact"/>
        <w:jc w:val="right"/>
        <w:rPr>
          <w:rFonts w:ascii="宋体" w:hAnsi="宋体"/>
          <w:color w:val="auto"/>
          <w:szCs w:val="21"/>
          <w:highlight w:val="none"/>
        </w:rPr>
      </w:pPr>
      <w:r>
        <w:rPr>
          <w:rFonts w:hint="eastAsia" w:ascii="宋体" w:hAnsi="宋体"/>
          <w:color w:val="auto"/>
          <w:szCs w:val="21"/>
          <w:highlight w:val="none"/>
        </w:rPr>
        <w:t>发包人：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（盖单位印章） </w:t>
      </w:r>
    </w:p>
    <w:p w14:paraId="55903D83">
      <w:pPr>
        <w:pStyle w:val="14"/>
        <w:spacing w:line="540" w:lineRule="exact"/>
        <w:ind w:firstLine="3238" w:firstLineChars="1542"/>
        <w:rPr>
          <w:rFonts w:ascii="宋体" w:hAnsi="宋体"/>
          <w:color w:val="auto"/>
          <w:szCs w:val="21"/>
          <w:highlight w:val="none"/>
        </w:rPr>
      </w:pPr>
      <w:r>
        <w:rPr>
          <w:rFonts w:hint="eastAsia" w:ascii="宋体" w:hAnsi="宋体"/>
          <w:color w:val="auto"/>
          <w:szCs w:val="21"/>
          <w:highlight w:val="none"/>
        </w:rPr>
        <w:t>发包代理机构：</w:t>
      </w:r>
      <w:r>
        <w:rPr>
          <w:rFonts w:hint="eastAsia" w:ascii="宋体" w:hAnsi="宋体"/>
          <w:color w:val="auto"/>
          <w:szCs w:val="21"/>
          <w:highlight w:val="none"/>
          <w:u w:val="single"/>
        </w:rPr>
        <w:t xml:space="preserve">              </w:t>
      </w:r>
      <w:r>
        <w:rPr>
          <w:rFonts w:hint="eastAsia" w:ascii="宋体" w:hAnsi="宋体"/>
          <w:color w:val="auto"/>
          <w:szCs w:val="21"/>
          <w:highlight w:val="none"/>
        </w:rPr>
        <w:t>（盖单位印章）</w:t>
      </w:r>
    </w:p>
    <w:p w14:paraId="272D6EC3">
      <w:pPr>
        <w:pStyle w:val="14"/>
        <w:spacing w:line="540" w:lineRule="exact"/>
        <w:ind w:firstLine="3548" w:firstLineChars="1690"/>
        <w:rPr>
          <w:rFonts w:ascii="宋体" w:hAnsi="宋体"/>
          <w:color w:val="auto"/>
          <w:szCs w:val="21"/>
          <w:highlight w:val="none"/>
        </w:rPr>
      </w:pPr>
      <w:r>
        <w:rPr>
          <w:rFonts w:hint="eastAsia" w:ascii="宋体" w:hAnsi="宋体"/>
          <w:color w:val="auto"/>
          <w:szCs w:val="21"/>
          <w:highlight w:val="none"/>
        </w:rPr>
        <w:t xml:space="preserve">         年        月        日</w:t>
      </w:r>
    </w:p>
    <w:p w14:paraId="21CD1E2B">
      <w:pPr>
        <w:pStyle w:val="14"/>
        <w:spacing w:line="400" w:lineRule="exact"/>
        <w:rPr>
          <w:rFonts w:ascii="宋体" w:hAnsi="宋体"/>
          <w:color w:val="auto"/>
          <w:szCs w:val="21"/>
          <w:highlight w:val="none"/>
        </w:rPr>
      </w:pPr>
    </w:p>
    <w:p w14:paraId="7394E00D">
      <w:pPr>
        <w:pStyle w:val="14"/>
        <w:spacing w:line="400" w:lineRule="exact"/>
        <w:rPr>
          <w:rFonts w:ascii="宋体" w:hAnsi="宋体"/>
          <w:color w:val="auto"/>
          <w:szCs w:val="21"/>
          <w:highlight w:val="none"/>
        </w:rPr>
      </w:pPr>
      <w:r>
        <w:rPr>
          <w:rFonts w:hint="eastAsia" w:ascii="宋体" w:hAnsi="宋体"/>
          <w:color w:val="auto"/>
          <w:szCs w:val="21"/>
          <w:highlight w:val="none"/>
        </w:rPr>
        <w:br w:type="page"/>
      </w:r>
    </w:p>
    <w:p w14:paraId="6FA84333">
      <w:pPr>
        <w:pStyle w:val="68"/>
        <w:outlineLvl w:val="1"/>
        <w:rPr>
          <w:rFonts w:ascii="宋体" w:hAnsi="宋体" w:eastAsia="宋体" w:cs="Times New Roman"/>
          <w:color w:val="auto"/>
          <w:sz w:val="21"/>
          <w:szCs w:val="21"/>
          <w:highlight w:val="none"/>
        </w:rPr>
      </w:pPr>
      <w:bookmarkStart w:id="547" w:name="_Toc15821"/>
      <w:bookmarkStart w:id="548" w:name="_Toc19376"/>
      <w:bookmarkStart w:id="549" w:name="_Toc1222"/>
      <w:bookmarkStart w:id="550" w:name="_Toc10935"/>
      <w:bookmarkStart w:id="551" w:name="_Toc9218"/>
      <w:bookmarkStart w:id="552" w:name="_Toc29238"/>
      <w:r>
        <w:rPr>
          <w:rFonts w:hint="eastAsia" w:ascii="宋体" w:hAnsi="宋体" w:eastAsia="宋体" w:cs="Times New Roman"/>
          <w:color w:val="auto"/>
          <w:sz w:val="21"/>
          <w:szCs w:val="21"/>
          <w:highlight w:val="none"/>
        </w:rPr>
        <w:t>附表六：确认通知</w:t>
      </w:r>
      <w:bookmarkEnd w:id="547"/>
      <w:bookmarkEnd w:id="548"/>
      <w:bookmarkEnd w:id="549"/>
      <w:bookmarkEnd w:id="550"/>
      <w:bookmarkEnd w:id="551"/>
      <w:bookmarkEnd w:id="552"/>
    </w:p>
    <w:p w14:paraId="2E5B025C">
      <w:pPr>
        <w:pStyle w:val="14"/>
        <w:rPr>
          <w:rFonts w:ascii="宋体" w:hAnsi="宋体"/>
          <w:color w:val="auto"/>
          <w:szCs w:val="21"/>
          <w:highlight w:val="none"/>
        </w:rPr>
      </w:pPr>
    </w:p>
    <w:p w14:paraId="394E1502">
      <w:pPr>
        <w:pStyle w:val="14"/>
        <w:rPr>
          <w:rFonts w:ascii="宋体" w:hAnsi="宋体"/>
          <w:color w:val="auto"/>
          <w:szCs w:val="21"/>
          <w:highlight w:val="none"/>
        </w:rPr>
      </w:pPr>
    </w:p>
    <w:p w14:paraId="5C0C2598">
      <w:pPr>
        <w:pStyle w:val="14"/>
        <w:spacing w:line="400" w:lineRule="exact"/>
        <w:jc w:val="center"/>
        <w:rPr>
          <w:rFonts w:ascii="宋体" w:hAnsi="宋体"/>
          <w:color w:val="auto"/>
          <w:szCs w:val="21"/>
          <w:highlight w:val="none"/>
        </w:rPr>
      </w:pPr>
      <w:r>
        <w:rPr>
          <w:rFonts w:hint="eastAsia" w:ascii="宋体" w:hAnsi="宋体"/>
          <w:color w:val="auto"/>
          <w:szCs w:val="21"/>
          <w:highlight w:val="none"/>
        </w:rPr>
        <w:t>确认通知</w:t>
      </w:r>
    </w:p>
    <w:p w14:paraId="707ABBE4">
      <w:pPr>
        <w:pStyle w:val="14"/>
        <w:spacing w:line="400" w:lineRule="exact"/>
        <w:rPr>
          <w:rFonts w:ascii="宋体" w:hAnsi="宋体"/>
          <w:color w:val="auto"/>
          <w:szCs w:val="21"/>
          <w:highlight w:val="none"/>
        </w:rPr>
      </w:pPr>
    </w:p>
    <w:p w14:paraId="74CEB56D">
      <w:pPr>
        <w:pStyle w:val="14"/>
        <w:spacing w:line="440" w:lineRule="exact"/>
        <w:ind w:left="0" w:firstLine="0"/>
        <w:rPr>
          <w:rFonts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（发包人名称）：</w:t>
      </w:r>
    </w:p>
    <w:p w14:paraId="78CD28E1">
      <w:pPr>
        <w:pStyle w:val="14"/>
        <w:spacing w:line="440" w:lineRule="exact"/>
        <w:rPr>
          <w:rFonts w:ascii="宋体" w:hAnsi="宋体"/>
          <w:color w:val="auto"/>
          <w:szCs w:val="21"/>
          <w:highlight w:val="none"/>
        </w:rPr>
      </w:pPr>
      <w:r>
        <w:rPr>
          <w:rFonts w:hint="eastAsia" w:ascii="宋体" w:hAnsi="宋体"/>
          <w:color w:val="auto"/>
          <w:szCs w:val="21"/>
          <w:highlight w:val="none"/>
        </w:rPr>
        <w:t xml:space="preserve">    </w:t>
      </w:r>
    </w:p>
    <w:p w14:paraId="21801886">
      <w:pPr>
        <w:pStyle w:val="14"/>
        <w:spacing w:line="440" w:lineRule="exact"/>
        <w:ind w:left="0" w:firstLine="420" w:firstLineChars="200"/>
        <w:rPr>
          <w:rFonts w:ascii="宋体" w:hAnsi="宋体"/>
          <w:color w:val="auto"/>
          <w:szCs w:val="21"/>
          <w:highlight w:val="none"/>
        </w:rPr>
      </w:pPr>
      <w:r>
        <w:rPr>
          <w:rFonts w:hint="eastAsia" w:ascii="宋体" w:hAnsi="宋体"/>
          <w:color w:val="auto"/>
          <w:szCs w:val="21"/>
          <w:highlight w:val="none"/>
        </w:rPr>
        <w:t>我方已接到你方</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日发出的____________（项目名称）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标段设计发包关于发包文件澄清/修改的通知（第  号补遗书，正文共   页），我方已于      年    月     日收到。</w:t>
      </w:r>
    </w:p>
    <w:p w14:paraId="7AF2AB16">
      <w:pPr>
        <w:pStyle w:val="14"/>
        <w:spacing w:line="440" w:lineRule="exact"/>
        <w:rPr>
          <w:rFonts w:ascii="宋体" w:hAnsi="宋体"/>
          <w:color w:val="auto"/>
          <w:szCs w:val="21"/>
          <w:highlight w:val="none"/>
        </w:rPr>
      </w:pPr>
      <w:r>
        <w:rPr>
          <w:rFonts w:hint="eastAsia" w:ascii="宋体" w:hAnsi="宋体"/>
          <w:color w:val="auto"/>
          <w:szCs w:val="21"/>
          <w:highlight w:val="none"/>
        </w:rPr>
        <w:t>　　</w:t>
      </w:r>
    </w:p>
    <w:p w14:paraId="0600C703">
      <w:pPr>
        <w:pStyle w:val="14"/>
        <w:spacing w:line="440" w:lineRule="exact"/>
        <w:rPr>
          <w:rFonts w:ascii="宋体" w:hAnsi="宋体"/>
          <w:color w:val="auto"/>
          <w:szCs w:val="21"/>
          <w:highlight w:val="none"/>
        </w:rPr>
      </w:pPr>
      <w:r>
        <w:rPr>
          <w:rFonts w:hint="eastAsia" w:ascii="宋体" w:hAnsi="宋体"/>
          <w:color w:val="auto"/>
          <w:szCs w:val="21"/>
          <w:highlight w:val="none"/>
        </w:rPr>
        <w:t>　　特此确认。</w:t>
      </w:r>
    </w:p>
    <w:p w14:paraId="68FB32B7">
      <w:pPr>
        <w:pStyle w:val="14"/>
        <w:spacing w:line="440" w:lineRule="exact"/>
        <w:rPr>
          <w:rFonts w:ascii="宋体" w:hAnsi="宋体"/>
          <w:color w:val="auto"/>
          <w:szCs w:val="21"/>
          <w:highlight w:val="none"/>
        </w:rPr>
      </w:pPr>
    </w:p>
    <w:p w14:paraId="5FC9FE37">
      <w:pPr>
        <w:pStyle w:val="14"/>
        <w:spacing w:line="440" w:lineRule="exact"/>
        <w:rPr>
          <w:rFonts w:ascii="宋体" w:hAnsi="宋体"/>
          <w:color w:val="auto"/>
          <w:szCs w:val="21"/>
          <w:highlight w:val="none"/>
        </w:rPr>
      </w:pPr>
    </w:p>
    <w:p w14:paraId="7846290E">
      <w:pPr>
        <w:pStyle w:val="14"/>
        <w:spacing w:line="440" w:lineRule="exact"/>
        <w:rPr>
          <w:rFonts w:ascii="宋体" w:hAnsi="宋体"/>
          <w:color w:val="auto"/>
          <w:szCs w:val="21"/>
          <w:highlight w:val="none"/>
        </w:rPr>
      </w:pPr>
    </w:p>
    <w:p w14:paraId="38FF52CE">
      <w:pPr>
        <w:pStyle w:val="14"/>
        <w:spacing w:line="540" w:lineRule="exact"/>
        <w:ind w:firstLine="3238" w:firstLineChars="1542"/>
        <w:rPr>
          <w:rFonts w:ascii="宋体" w:hAnsi="宋体"/>
          <w:color w:val="auto"/>
          <w:szCs w:val="21"/>
          <w:highlight w:val="none"/>
        </w:rPr>
      </w:pPr>
      <w:r>
        <w:rPr>
          <w:rFonts w:hint="eastAsia" w:ascii="宋体" w:hAnsi="宋体"/>
          <w:color w:val="auto"/>
          <w:szCs w:val="21"/>
          <w:highlight w:val="none"/>
        </w:rPr>
        <w:t xml:space="preserve">竞包人：                    （盖单位印章） </w:t>
      </w:r>
    </w:p>
    <w:p w14:paraId="43EE34DA">
      <w:pPr>
        <w:pStyle w:val="14"/>
        <w:spacing w:line="540" w:lineRule="exact"/>
        <w:ind w:firstLine="3548" w:firstLineChars="1690"/>
        <w:rPr>
          <w:rFonts w:ascii="宋体" w:hAnsi="宋体"/>
          <w:color w:val="auto"/>
          <w:szCs w:val="21"/>
          <w:highlight w:val="none"/>
        </w:rPr>
      </w:pPr>
      <w:r>
        <w:rPr>
          <w:rFonts w:hint="eastAsia" w:ascii="宋体" w:hAnsi="宋体"/>
          <w:color w:val="auto"/>
          <w:szCs w:val="21"/>
          <w:highlight w:val="none"/>
        </w:rPr>
        <w:t xml:space="preserve">         年        月        日</w:t>
      </w:r>
    </w:p>
    <w:p w14:paraId="435CEEE2">
      <w:pPr>
        <w:pStyle w:val="14"/>
        <w:spacing w:line="400" w:lineRule="exact"/>
        <w:rPr>
          <w:rFonts w:ascii="宋体" w:hAnsi="宋体"/>
          <w:color w:val="auto"/>
          <w:szCs w:val="21"/>
          <w:highlight w:val="none"/>
        </w:rPr>
      </w:pPr>
    </w:p>
    <w:p w14:paraId="125C6B49">
      <w:pPr>
        <w:pStyle w:val="14"/>
        <w:jc w:val="left"/>
        <w:rPr>
          <w:rFonts w:ascii="宋体" w:hAnsi="宋体"/>
          <w:color w:val="auto"/>
          <w:szCs w:val="21"/>
          <w:highlight w:val="none"/>
        </w:rPr>
      </w:pPr>
    </w:p>
    <w:p w14:paraId="185F9642">
      <w:pPr>
        <w:pStyle w:val="14"/>
        <w:jc w:val="left"/>
        <w:rPr>
          <w:rFonts w:ascii="宋体" w:hAnsi="宋体"/>
          <w:color w:val="auto"/>
          <w:szCs w:val="21"/>
          <w:highlight w:val="none"/>
        </w:rPr>
      </w:pPr>
    </w:p>
    <w:p w14:paraId="6FDE22BF">
      <w:pPr>
        <w:pStyle w:val="14"/>
        <w:jc w:val="center"/>
        <w:rPr>
          <w:rFonts w:ascii="宋体" w:hAnsi="宋体"/>
          <w:color w:val="auto"/>
          <w:szCs w:val="21"/>
          <w:highlight w:val="none"/>
        </w:rPr>
      </w:pPr>
      <w:r>
        <w:rPr>
          <w:rFonts w:hint="eastAsia" w:ascii="宋体" w:hAnsi="宋体"/>
          <w:color w:val="auto"/>
          <w:szCs w:val="21"/>
          <w:highlight w:val="none"/>
        </w:rPr>
        <w:br w:type="page"/>
      </w:r>
    </w:p>
    <w:p w14:paraId="3D2CE76F">
      <w:pPr>
        <w:pStyle w:val="14"/>
        <w:jc w:val="center"/>
        <w:rPr>
          <w:rFonts w:ascii="宋体" w:hAnsi="宋体"/>
          <w:color w:val="auto"/>
          <w:szCs w:val="21"/>
          <w:highlight w:val="none"/>
        </w:rPr>
      </w:pPr>
    </w:p>
    <w:p w14:paraId="72157E43">
      <w:pPr>
        <w:pStyle w:val="14"/>
        <w:jc w:val="center"/>
        <w:rPr>
          <w:rFonts w:ascii="宋体" w:hAnsi="宋体"/>
          <w:color w:val="auto"/>
          <w:szCs w:val="21"/>
          <w:highlight w:val="none"/>
        </w:rPr>
      </w:pPr>
    </w:p>
    <w:p w14:paraId="0EC1D5C6">
      <w:pPr>
        <w:pStyle w:val="14"/>
        <w:jc w:val="center"/>
        <w:rPr>
          <w:rFonts w:ascii="宋体" w:hAnsi="宋体"/>
          <w:color w:val="auto"/>
          <w:szCs w:val="21"/>
          <w:highlight w:val="none"/>
        </w:rPr>
      </w:pPr>
    </w:p>
    <w:p w14:paraId="753BFE0B">
      <w:pPr>
        <w:pStyle w:val="14"/>
        <w:jc w:val="center"/>
        <w:rPr>
          <w:rFonts w:ascii="宋体" w:hAnsi="宋体"/>
          <w:color w:val="auto"/>
          <w:szCs w:val="21"/>
          <w:highlight w:val="none"/>
        </w:rPr>
      </w:pPr>
    </w:p>
    <w:p w14:paraId="36A0F7A7">
      <w:pPr>
        <w:pStyle w:val="14"/>
        <w:jc w:val="center"/>
        <w:rPr>
          <w:rFonts w:ascii="宋体" w:hAnsi="宋体"/>
          <w:color w:val="auto"/>
          <w:szCs w:val="21"/>
          <w:highlight w:val="none"/>
        </w:rPr>
      </w:pPr>
    </w:p>
    <w:p w14:paraId="5E89EB22">
      <w:pPr>
        <w:pStyle w:val="14"/>
        <w:jc w:val="center"/>
        <w:rPr>
          <w:rFonts w:ascii="宋体" w:hAnsi="宋体"/>
          <w:color w:val="auto"/>
          <w:szCs w:val="21"/>
          <w:highlight w:val="none"/>
        </w:rPr>
      </w:pPr>
    </w:p>
    <w:p w14:paraId="68B2B826">
      <w:pPr>
        <w:pStyle w:val="14"/>
        <w:jc w:val="center"/>
        <w:rPr>
          <w:rFonts w:ascii="宋体" w:hAnsi="宋体"/>
          <w:color w:val="auto"/>
          <w:szCs w:val="21"/>
          <w:highlight w:val="none"/>
        </w:rPr>
      </w:pPr>
    </w:p>
    <w:p w14:paraId="0ABE6210">
      <w:pPr>
        <w:pStyle w:val="14"/>
        <w:jc w:val="center"/>
        <w:rPr>
          <w:rFonts w:ascii="宋体" w:hAnsi="宋体"/>
          <w:color w:val="auto"/>
          <w:szCs w:val="21"/>
          <w:highlight w:val="none"/>
        </w:rPr>
      </w:pPr>
    </w:p>
    <w:p w14:paraId="3F6F6125">
      <w:pPr>
        <w:pStyle w:val="14"/>
        <w:jc w:val="center"/>
        <w:rPr>
          <w:rFonts w:ascii="宋体" w:hAnsi="宋体"/>
          <w:color w:val="auto"/>
          <w:szCs w:val="21"/>
          <w:highlight w:val="none"/>
        </w:rPr>
      </w:pPr>
    </w:p>
    <w:p w14:paraId="08764BD2">
      <w:pPr>
        <w:pStyle w:val="14"/>
        <w:jc w:val="center"/>
        <w:rPr>
          <w:rFonts w:ascii="宋体" w:hAnsi="宋体"/>
          <w:color w:val="auto"/>
          <w:szCs w:val="21"/>
          <w:highlight w:val="none"/>
        </w:rPr>
      </w:pPr>
    </w:p>
    <w:p w14:paraId="102E9C51">
      <w:pPr>
        <w:pStyle w:val="14"/>
        <w:jc w:val="center"/>
        <w:rPr>
          <w:rFonts w:ascii="宋体" w:hAnsi="宋体"/>
          <w:color w:val="auto"/>
          <w:szCs w:val="21"/>
          <w:highlight w:val="none"/>
        </w:rPr>
      </w:pPr>
    </w:p>
    <w:p w14:paraId="60802305">
      <w:pPr>
        <w:pStyle w:val="14"/>
        <w:jc w:val="center"/>
        <w:rPr>
          <w:rFonts w:ascii="宋体" w:hAnsi="宋体"/>
          <w:color w:val="auto"/>
          <w:szCs w:val="21"/>
          <w:highlight w:val="none"/>
        </w:rPr>
      </w:pPr>
    </w:p>
    <w:p w14:paraId="68310C3A">
      <w:pPr>
        <w:pStyle w:val="14"/>
        <w:jc w:val="center"/>
        <w:rPr>
          <w:rFonts w:ascii="宋体" w:hAnsi="宋体"/>
          <w:color w:val="auto"/>
          <w:szCs w:val="21"/>
          <w:highlight w:val="none"/>
        </w:rPr>
      </w:pPr>
    </w:p>
    <w:p w14:paraId="029DEE08">
      <w:pPr>
        <w:pStyle w:val="14"/>
        <w:jc w:val="center"/>
        <w:rPr>
          <w:rFonts w:ascii="宋体" w:hAnsi="宋体"/>
          <w:color w:val="auto"/>
          <w:sz w:val="52"/>
          <w:szCs w:val="52"/>
          <w:highlight w:val="none"/>
        </w:rPr>
      </w:pPr>
      <w:r>
        <w:rPr>
          <w:rFonts w:hint="eastAsia" w:ascii="宋体" w:hAnsi="宋体"/>
          <w:color w:val="auto"/>
          <w:sz w:val="52"/>
          <w:szCs w:val="52"/>
          <w:highlight w:val="none"/>
        </w:rPr>
        <w:t>第三章  评标办法</w:t>
      </w:r>
    </w:p>
    <w:p w14:paraId="3F572DD3">
      <w:pPr>
        <w:pStyle w:val="14"/>
        <w:rPr>
          <w:rFonts w:ascii="宋体" w:hAnsi="宋体"/>
          <w:color w:val="auto"/>
          <w:szCs w:val="21"/>
          <w:highlight w:val="none"/>
        </w:rPr>
        <w:sectPr>
          <w:footnotePr>
            <w:numFmt w:val="decimalEnclosedCircleChinese"/>
            <w:numRestart w:val="eachPage"/>
          </w:footnotePr>
          <w:type w:val="continuous"/>
          <w:pgSz w:w="11911" w:h="16849"/>
          <w:pgMar w:top="1417" w:right="1361" w:bottom="1417" w:left="1361" w:header="850" w:footer="907" w:gutter="0"/>
          <w:cols w:space="720" w:num="1"/>
        </w:sectPr>
      </w:pPr>
    </w:p>
    <w:p w14:paraId="002B94FC">
      <w:pPr>
        <w:pStyle w:val="14"/>
        <w:rPr>
          <w:rFonts w:ascii="宋体" w:hAnsi="宋体"/>
          <w:color w:val="auto"/>
          <w:szCs w:val="21"/>
          <w:highlight w:val="none"/>
        </w:rPr>
      </w:pPr>
    </w:p>
    <w:p w14:paraId="3AF190B3">
      <w:pPr>
        <w:pStyle w:val="63"/>
        <w:spacing w:line="240" w:lineRule="auto"/>
        <w:ind w:left="680" w:firstLine="0"/>
        <w:jc w:val="center"/>
        <w:rPr>
          <w:rFonts w:ascii="宋体" w:hAnsi="宋体" w:eastAsia="宋体"/>
          <w:color w:val="auto"/>
          <w:sz w:val="36"/>
          <w:szCs w:val="36"/>
          <w:highlight w:val="none"/>
        </w:rPr>
      </w:pPr>
      <w:r>
        <w:rPr>
          <w:rFonts w:hint="eastAsia" w:ascii="宋体" w:hAnsi="宋体" w:eastAsia="宋体"/>
          <w:color w:val="auto"/>
          <w:sz w:val="21"/>
          <w:szCs w:val="21"/>
          <w:highlight w:val="none"/>
        </w:rPr>
        <w:br w:type="page"/>
      </w:r>
      <w:bookmarkStart w:id="553" w:name="_Toc23453"/>
      <w:bookmarkStart w:id="554" w:name="_Toc10862"/>
      <w:bookmarkStart w:id="555" w:name="_Toc21049"/>
      <w:bookmarkStart w:id="556" w:name="_Toc7208"/>
      <w:bookmarkStart w:id="557" w:name="_Toc17843"/>
      <w:bookmarkStart w:id="558" w:name="_Toc17958"/>
      <w:r>
        <w:rPr>
          <w:rFonts w:hint="eastAsia" w:ascii="宋体" w:hAnsi="宋体" w:eastAsia="宋体"/>
          <w:color w:val="auto"/>
          <w:sz w:val="36"/>
          <w:szCs w:val="36"/>
          <w:highlight w:val="none"/>
        </w:rPr>
        <w:t>第三章 评标办法（综合评估法）</w:t>
      </w:r>
      <w:bookmarkEnd w:id="553"/>
      <w:bookmarkEnd w:id="554"/>
      <w:bookmarkEnd w:id="555"/>
      <w:bookmarkEnd w:id="556"/>
      <w:bookmarkEnd w:id="557"/>
      <w:bookmarkEnd w:id="558"/>
    </w:p>
    <w:p w14:paraId="3B9BE441">
      <w:pPr>
        <w:pStyle w:val="63"/>
        <w:spacing w:before="0" w:after="0" w:line="400" w:lineRule="exact"/>
        <w:ind w:left="0" w:firstLine="0"/>
        <w:rPr>
          <w:rFonts w:ascii="宋体" w:hAnsi="宋体" w:eastAsia="宋体"/>
          <w:color w:val="auto"/>
          <w:sz w:val="21"/>
          <w:szCs w:val="21"/>
          <w:highlight w:val="none"/>
        </w:rPr>
      </w:pPr>
      <w:bookmarkStart w:id="559" w:name="_Toc28094"/>
      <w:bookmarkStart w:id="560" w:name="_Toc12549"/>
      <w:bookmarkStart w:id="561" w:name="_Toc5966"/>
      <w:bookmarkStart w:id="562" w:name="_Toc9512"/>
      <w:bookmarkStart w:id="563" w:name="_Toc16561"/>
      <w:bookmarkStart w:id="564" w:name="_Toc14758"/>
      <w:r>
        <w:rPr>
          <w:rFonts w:hint="eastAsia" w:ascii="宋体" w:hAnsi="宋体" w:eastAsia="宋体"/>
          <w:color w:val="auto"/>
          <w:sz w:val="21"/>
          <w:szCs w:val="21"/>
          <w:highlight w:val="none"/>
        </w:rPr>
        <w:t>评标办法前附表</w:t>
      </w:r>
      <w:bookmarkEnd w:id="559"/>
      <w:bookmarkEnd w:id="560"/>
      <w:bookmarkEnd w:id="561"/>
      <w:bookmarkEnd w:id="562"/>
      <w:bookmarkEnd w:id="563"/>
      <w:bookmarkEnd w:id="564"/>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1364"/>
        <w:gridCol w:w="7037"/>
      </w:tblGrid>
      <w:tr w14:paraId="3C10A5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90" w:hRule="atLeast"/>
        </w:trPr>
        <w:tc>
          <w:tcPr>
            <w:tcW w:w="818" w:type="dxa"/>
            <w:vAlign w:val="center"/>
          </w:tcPr>
          <w:p w14:paraId="1EBADB1A">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364" w:type="dxa"/>
            <w:vAlign w:val="center"/>
          </w:tcPr>
          <w:p w14:paraId="347D1084">
            <w:pPr>
              <w:pStyle w:val="14"/>
              <w:ind w:left="0" w:firstLine="0"/>
              <w:rPr>
                <w:rFonts w:ascii="宋体" w:hAnsi="宋体"/>
                <w:color w:val="auto"/>
                <w:szCs w:val="21"/>
                <w:highlight w:val="none"/>
              </w:rPr>
            </w:pPr>
            <w:r>
              <w:rPr>
                <w:rFonts w:hint="eastAsia" w:ascii="宋体" w:hAnsi="宋体"/>
                <w:color w:val="auto"/>
                <w:szCs w:val="21"/>
                <w:highlight w:val="none"/>
              </w:rPr>
              <w:t>条款名称</w:t>
            </w:r>
          </w:p>
        </w:tc>
        <w:tc>
          <w:tcPr>
            <w:tcW w:w="7037" w:type="dxa"/>
            <w:vAlign w:val="center"/>
          </w:tcPr>
          <w:p w14:paraId="352C9E06">
            <w:pPr>
              <w:pStyle w:val="14"/>
              <w:ind w:left="0" w:firstLine="0"/>
              <w:rPr>
                <w:rFonts w:ascii="宋体" w:hAnsi="宋体"/>
                <w:color w:val="auto"/>
                <w:szCs w:val="21"/>
                <w:highlight w:val="none"/>
              </w:rPr>
            </w:pPr>
            <w:r>
              <w:rPr>
                <w:rFonts w:hint="eastAsia" w:ascii="宋体" w:hAnsi="宋体"/>
                <w:color w:val="auto"/>
                <w:szCs w:val="21"/>
                <w:highlight w:val="none"/>
              </w:rPr>
              <w:t>评审因素与评审标准</w:t>
            </w:r>
          </w:p>
        </w:tc>
      </w:tr>
      <w:tr w14:paraId="2AB5AFE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18" w:type="dxa"/>
            <w:vAlign w:val="center"/>
          </w:tcPr>
          <w:p w14:paraId="52BE25AE">
            <w:pPr>
              <w:pStyle w:val="14"/>
              <w:ind w:left="0" w:firstLine="0"/>
              <w:rPr>
                <w:rFonts w:ascii="宋体" w:hAnsi="宋体"/>
                <w:color w:val="auto"/>
                <w:szCs w:val="21"/>
                <w:highlight w:val="none"/>
              </w:rPr>
            </w:pPr>
            <w:r>
              <w:rPr>
                <w:rFonts w:hint="eastAsia" w:ascii="宋体" w:hAnsi="宋体"/>
                <w:color w:val="auto"/>
                <w:szCs w:val="21"/>
                <w:highlight w:val="none"/>
              </w:rPr>
              <w:t>1</w:t>
            </w:r>
          </w:p>
        </w:tc>
        <w:tc>
          <w:tcPr>
            <w:tcW w:w="1364" w:type="dxa"/>
            <w:vAlign w:val="center"/>
          </w:tcPr>
          <w:p w14:paraId="133A88FD">
            <w:pPr>
              <w:pStyle w:val="14"/>
              <w:ind w:left="0" w:firstLine="0"/>
              <w:rPr>
                <w:rFonts w:ascii="宋体" w:hAnsi="宋体"/>
                <w:color w:val="auto"/>
                <w:szCs w:val="21"/>
                <w:highlight w:val="none"/>
              </w:rPr>
            </w:pPr>
            <w:r>
              <w:rPr>
                <w:rFonts w:hint="eastAsia" w:ascii="宋体" w:hAnsi="宋体"/>
                <w:color w:val="auto"/>
                <w:szCs w:val="21"/>
                <w:highlight w:val="none"/>
              </w:rPr>
              <w:t>评标方法</w:t>
            </w:r>
          </w:p>
        </w:tc>
        <w:tc>
          <w:tcPr>
            <w:tcW w:w="7037" w:type="dxa"/>
            <w:vAlign w:val="center"/>
          </w:tcPr>
          <w:p w14:paraId="1B36269D">
            <w:pPr>
              <w:pBdr>
                <w:bottom w:val="single" w:color="auto" w:sz="6" w:space="1"/>
              </w:pBdr>
              <w:tabs>
                <w:tab w:val="left" w:pos="1125"/>
                <w:tab w:val="right" w:pos="9309"/>
              </w:tabs>
              <w:wordWrap w:val="0"/>
              <w:jc w:val="left"/>
              <w:rPr>
                <w:rFonts w:ascii="宋体" w:hAnsi="宋体"/>
                <w:color w:val="auto"/>
                <w:szCs w:val="21"/>
                <w:highlight w:val="none"/>
              </w:rPr>
            </w:pPr>
            <w:r>
              <w:rPr>
                <w:rFonts w:hint="eastAsia" w:ascii="宋体" w:hAnsi="宋体"/>
                <w:color w:val="auto"/>
                <w:szCs w:val="21"/>
                <w:highlight w:val="none"/>
              </w:rPr>
              <w:t>综合得分相等时优先顺序：（1）评标价低的竞包人优先；（2）被浙江省交通运输厅评为较高信用等级的竞包人优先（联合体竞包的，信用等级以承担设计任务的竞包人中信用等级较低的为准）；（3）商务和技术得分较高的竞包人优先；（4）以评标委员会少数服从多数的原则推荐确定。</w:t>
            </w:r>
          </w:p>
        </w:tc>
      </w:tr>
      <w:tr w14:paraId="620CB8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818" w:type="dxa"/>
            <w:vAlign w:val="center"/>
          </w:tcPr>
          <w:p w14:paraId="43C42A75">
            <w:pPr>
              <w:pStyle w:val="14"/>
              <w:spacing w:line="240" w:lineRule="auto"/>
              <w:ind w:left="0" w:firstLine="0"/>
              <w:rPr>
                <w:rFonts w:ascii="宋体" w:hAnsi="宋体"/>
                <w:color w:val="auto"/>
                <w:szCs w:val="21"/>
                <w:highlight w:val="none"/>
              </w:rPr>
            </w:pPr>
            <w:r>
              <w:rPr>
                <w:rFonts w:hint="eastAsia" w:ascii="宋体" w:hAnsi="宋体"/>
                <w:color w:val="auto"/>
                <w:szCs w:val="21"/>
                <w:highlight w:val="none"/>
              </w:rPr>
              <w:t>2.1.1</w:t>
            </w:r>
          </w:p>
          <w:p w14:paraId="3DCCF6AE">
            <w:pPr>
              <w:pStyle w:val="14"/>
              <w:spacing w:line="240" w:lineRule="auto"/>
              <w:ind w:left="0" w:firstLine="0"/>
              <w:rPr>
                <w:rFonts w:ascii="宋体" w:hAnsi="宋体"/>
                <w:color w:val="auto"/>
                <w:szCs w:val="21"/>
                <w:highlight w:val="none"/>
              </w:rPr>
            </w:pPr>
            <w:r>
              <w:rPr>
                <w:rFonts w:hint="eastAsia" w:ascii="宋体" w:hAnsi="宋体"/>
                <w:color w:val="auto"/>
                <w:szCs w:val="21"/>
                <w:highlight w:val="none"/>
              </w:rPr>
              <w:t>2.1.3</w:t>
            </w:r>
          </w:p>
        </w:tc>
        <w:tc>
          <w:tcPr>
            <w:tcW w:w="1364" w:type="dxa"/>
            <w:vAlign w:val="center"/>
          </w:tcPr>
          <w:p w14:paraId="26B239D8">
            <w:pPr>
              <w:pStyle w:val="14"/>
              <w:spacing w:line="240" w:lineRule="auto"/>
              <w:ind w:left="0" w:firstLine="0"/>
              <w:rPr>
                <w:rFonts w:ascii="宋体" w:hAnsi="宋体"/>
                <w:color w:val="auto"/>
                <w:szCs w:val="21"/>
                <w:highlight w:val="none"/>
              </w:rPr>
            </w:pPr>
            <w:r>
              <w:rPr>
                <w:rFonts w:hint="eastAsia" w:ascii="宋体" w:hAnsi="宋体"/>
                <w:color w:val="auto"/>
                <w:szCs w:val="21"/>
                <w:highlight w:val="none"/>
              </w:rPr>
              <w:t>形式评审与响应性评审标准</w:t>
            </w:r>
          </w:p>
        </w:tc>
        <w:tc>
          <w:tcPr>
            <w:tcW w:w="7037" w:type="dxa"/>
            <w:vAlign w:val="center"/>
          </w:tcPr>
          <w:p w14:paraId="07C8B4DD">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第一个信封（商务及技术文件）评审标准：</w:t>
            </w:r>
          </w:p>
          <w:p w14:paraId="5FB5861F">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（1）竞包文件按照发包文件规定的格式、内容填写，字迹清晰可辨：</w:t>
            </w:r>
          </w:p>
          <w:p w14:paraId="51A6887C">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a .竞包函按发包文件规定填报了项目名称、标段号、补遗书编号（如有）、设计服务期限、工程质量要求及安全目标；</w:t>
            </w:r>
          </w:p>
          <w:p w14:paraId="26BCA6FA">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b.竞包文件组成齐全完整，内容均按规定填写。</w:t>
            </w:r>
          </w:p>
          <w:p w14:paraId="35F365BA">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（2）竞包文件中法定代表人章、竞包人的单位印章盖章齐全，符合发包文件规定。</w:t>
            </w:r>
          </w:p>
          <w:p w14:paraId="49BB3DE8">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（3）竞包人法定代表人授权委托代理人签署竞包文件的，须提交授权委托书，且授权人在授权书上盖法定代表人章，授权书加盖竞包人单位印章。</w:t>
            </w:r>
          </w:p>
          <w:p w14:paraId="28B95E35">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（5）竞包人法定代表人亲自签署竞包文件的，提供了法定代表人身份证明，且法定代表人在法定代表人身份证明上签名或盖章。</w:t>
            </w:r>
          </w:p>
          <w:p w14:paraId="31FAA7DF">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（6）竞包人以联合体形式竞包时，联合体协议书满足发包文件的要求：竞包人按照发包文件提供的格式签订了联合体协议书，并明确了联合体牵头人，且联合体牵头人承担的标段工程量不低于50%。</w:t>
            </w:r>
          </w:p>
          <w:p w14:paraId="7F26D955">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（7）竞包人如有分包计划，符合发包文件第二章“竞包人须知”第1.11款规定，且按发包文件第六章“竞包文件格式”的要求填写了“拟分包项目情况表”。</w:t>
            </w:r>
          </w:p>
          <w:p w14:paraId="76B67B36">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（8）同一竞包人未提交两个以上不同的竞包文件，但发包文件要求提交备选竞包的除外。</w:t>
            </w:r>
          </w:p>
          <w:p w14:paraId="6B83FC2C">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（9）竞包文件中未出现有关竞包报价的内容。</w:t>
            </w:r>
          </w:p>
          <w:p w14:paraId="79200F8F">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（10）竞包文件载明的发包项目完成期限未超过发包文件规定的时限。</w:t>
            </w:r>
          </w:p>
          <w:p w14:paraId="7E9BF873">
            <w:pPr>
              <w:pStyle w:val="14"/>
              <w:spacing w:line="340" w:lineRule="exact"/>
              <w:ind w:left="0" w:firstLine="0"/>
              <w:rPr>
                <w:rFonts w:ascii="宋体" w:hAnsi="宋体"/>
                <w:color w:val="auto"/>
                <w:szCs w:val="21"/>
                <w:highlight w:val="none"/>
              </w:rPr>
            </w:pPr>
            <w:r>
              <w:rPr>
                <w:rFonts w:hint="eastAsia" w:ascii="宋体" w:hAnsi="宋体"/>
                <w:color w:val="auto"/>
                <w:szCs w:val="21"/>
                <w:highlight w:val="none"/>
              </w:rPr>
              <w:t>（11）竞包文件对发包文件的实质性要求和条件作出响应。</w:t>
            </w:r>
          </w:p>
          <w:p w14:paraId="3D6183E8">
            <w:pPr>
              <w:pStyle w:val="14"/>
              <w:spacing w:line="240" w:lineRule="auto"/>
              <w:ind w:left="0" w:firstLine="0"/>
              <w:rPr>
                <w:rFonts w:ascii="宋体" w:hAnsi="宋体"/>
                <w:color w:val="auto"/>
                <w:szCs w:val="21"/>
                <w:highlight w:val="none"/>
              </w:rPr>
            </w:pPr>
          </w:p>
        </w:tc>
      </w:tr>
    </w:tbl>
    <w:p w14:paraId="4219C47D">
      <w:pPr>
        <w:pStyle w:val="14"/>
        <w:jc w:val="right"/>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续上表</w:t>
      </w:r>
    </w:p>
    <w:tbl>
      <w:tblPr>
        <w:tblStyle w:val="34"/>
        <w:tblW w:w="9627"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1558"/>
        <w:gridCol w:w="7219"/>
      </w:tblGrid>
      <w:tr w14:paraId="0A4180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07" w:hRule="atLeast"/>
        </w:trPr>
        <w:tc>
          <w:tcPr>
            <w:tcW w:w="850" w:type="dxa"/>
            <w:tcBorders>
              <w:tl2br w:val="nil"/>
              <w:tr2bl w:val="nil"/>
            </w:tcBorders>
            <w:vAlign w:val="center"/>
          </w:tcPr>
          <w:p w14:paraId="1DC8526B">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558" w:type="dxa"/>
            <w:tcBorders>
              <w:tl2br w:val="nil"/>
              <w:tr2bl w:val="nil"/>
            </w:tcBorders>
            <w:vAlign w:val="center"/>
          </w:tcPr>
          <w:p w14:paraId="201101D4">
            <w:pPr>
              <w:pStyle w:val="14"/>
              <w:ind w:left="0" w:firstLine="0"/>
              <w:rPr>
                <w:rFonts w:ascii="宋体" w:hAnsi="宋体"/>
                <w:color w:val="auto"/>
                <w:szCs w:val="21"/>
                <w:highlight w:val="none"/>
              </w:rPr>
            </w:pPr>
            <w:r>
              <w:rPr>
                <w:rFonts w:hint="eastAsia" w:ascii="宋体" w:hAnsi="宋体"/>
                <w:color w:val="auto"/>
                <w:szCs w:val="21"/>
                <w:highlight w:val="none"/>
              </w:rPr>
              <w:t>条款名称</w:t>
            </w:r>
          </w:p>
        </w:tc>
        <w:tc>
          <w:tcPr>
            <w:tcW w:w="7219" w:type="dxa"/>
            <w:tcBorders>
              <w:tl2br w:val="nil"/>
              <w:tr2bl w:val="nil"/>
            </w:tcBorders>
            <w:vAlign w:val="center"/>
          </w:tcPr>
          <w:p w14:paraId="78BABC81">
            <w:pPr>
              <w:pStyle w:val="14"/>
              <w:ind w:left="0" w:firstLine="0"/>
              <w:rPr>
                <w:rFonts w:ascii="宋体" w:hAnsi="宋体"/>
                <w:color w:val="auto"/>
                <w:szCs w:val="21"/>
                <w:highlight w:val="none"/>
              </w:rPr>
            </w:pPr>
            <w:r>
              <w:rPr>
                <w:rFonts w:hint="eastAsia" w:ascii="宋体" w:hAnsi="宋体"/>
                <w:color w:val="auto"/>
                <w:szCs w:val="21"/>
                <w:highlight w:val="none"/>
              </w:rPr>
              <w:t>评审因素与评审标准</w:t>
            </w:r>
          </w:p>
        </w:tc>
      </w:tr>
      <w:tr w14:paraId="54CDC1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245" w:hRule="atLeast"/>
        </w:trPr>
        <w:tc>
          <w:tcPr>
            <w:tcW w:w="850" w:type="dxa"/>
            <w:tcBorders>
              <w:tl2br w:val="nil"/>
              <w:tr2bl w:val="nil"/>
            </w:tcBorders>
            <w:vAlign w:val="center"/>
          </w:tcPr>
          <w:p w14:paraId="1F2B2ABC">
            <w:pPr>
              <w:pStyle w:val="14"/>
              <w:ind w:left="0" w:firstLine="0"/>
              <w:rPr>
                <w:rFonts w:ascii="宋体" w:hAnsi="宋体"/>
                <w:color w:val="auto"/>
                <w:szCs w:val="21"/>
                <w:highlight w:val="none"/>
              </w:rPr>
            </w:pPr>
            <w:r>
              <w:rPr>
                <w:rFonts w:hint="eastAsia" w:ascii="宋体" w:hAnsi="宋体"/>
                <w:color w:val="auto"/>
                <w:szCs w:val="21"/>
                <w:highlight w:val="none"/>
              </w:rPr>
              <w:t>2.1.1</w:t>
            </w:r>
          </w:p>
          <w:p w14:paraId="75E4638E">
            <w:pPr>
              <w:pStyle w:val="14"/>
              <w:ind w:left="0" w:firstLine="0"/>
              <w:rPr>
                <w:rFonts w:ascii="宋体" w:hAnsi="宋体"/>
                <w:color w:val="auto"/>
                <w:szCs w:val="21"/>
                <w:highlight w:val="none"/>
              </w:rPr>
            </w:pPr>
            <w:r>
              <w:rPr>
                <w:rFonts w:hint="eastAsia" w:ascii="宋体" w:hAnsi="宋体"/>
                <w:color w:val="auto"/>
                <w:szCs w:val="21"/>
                <w:highlight w:val="none"/>
              </w:rPr>
              <w:t>2.1.3</w:t>
            </w:r>
          </w:p>
        </w:tc>
        <w:tc>
          <w:tcPr>
            <w:tcW w:w="1558" w:type="dxa"/>
            <w:tcBorders>
              <w:tl2br w:val="nil"/>
              <w:tr2bl w:val="nil"/>
            </w:tcBorders>
            <w:vAlign w:val="center"/>
          </w:tcPr>
          <w:p w14:paraId="01468E66">
            <w:pPr>
              <w:pStyle w:val="14"/>
              <w:ind w:left="0" w:firstLine="0"/>
              <w:rPr>
                <w:rFonts w:ascii="宋体" w:hAnsi="宋体"/>
                <w:color w:val="auto"/>
                <w:szCs w:val="21"/>
                <w:highlight w:val="none"/>
              </w:rPr>
            </w:pPr>
            <w:r>
              <w:rPr>
                <w:rFonts w:hint="eastAsia" w:ascii="宋体" w:hAnsi="宋体"/>
                <w:color w:val="auto"/>
                <w:szCs w:val="21"/>
                <w:highlight w:val="none"/>
              </w:rPr>
              <w:t>形式评审与响应性评审标准</w:t>
            </w:r>
          </w:p>
        </w:tc>
        <w:tc>
          <w:tcPr>
            <w:tcW w:w="7219" w:type="dxa"/>
            <w:tcBorders>
              <w:tl2br w:val="nil"/>
              <w:tr2bl w:val="nil"/>
            </w:tcBorders>
            <w:vAlign w:val="center"/>
          </w:tcPr>
          <w:p w14:paraId="7AAD556E">
            <w:pPr>
              <w:pStyle w:val="14"/>
              <w:ind w:left="0" w:firstLine="0"/>
              <w:rPr>
                <w:rFonts w:ascii="宋体" w:hAnsi="宋体"/>
                <w:color w:val="auto"/>
                <w:szCs w:val="21"/>
                <w:highlight w:val="none"/>
              </w:rPr>
            </w:pPr>
            <w:r>
              <w:rPr>
                <w:rFonts w:hint="eastAsia" w:ascii="宋体" w:hAnsi="宋体"/>
                <w:color w:val="auto"/>
                <w:szCs w:val="21"/>
                <w:highlight w:val="none"/>
              </w:rPr>
              <w:t>（12）权利义务符合发包文件规定：</w:t>
            </w:r>
          </w:p>
          <w:p w14:paraId="27763F9A">
            <w:pPr>
              <w:pStyle w:val="14"/>
              <w:ind w:left="0" w:firstLine="0"/>
              <w:rPr>
                <w:rFonts w:ascii="宋体" w:hAnsi="宋体"/>
                <w:color w:val="auto"/>
                <w:szCs w:val="21"/>
                <w:highlight w:val="none"/>
              </w:rPr>
            </w:pPr>
            <w:r>
              <w:rPr>
                <w:rFonts w:hint="eastAsia" w:ascii="宋体" w:hAnsi="宋体"/>
                <w:color w:val="auto"/>
                <w:szCs w:val="21"/>
                <w:highlight w:val="none"/>
              </w:rPr>
              <w:t>a.竞包人应接受发包文件规定的风险划分原则，未提出新的风险划分办法；</w:t>
            </w:r>
          </w:p>
          <w:p w14:paraId="37B66DA3">
            <w:pPr>
              <w:pStyle w:val="14"/>
              <w:ind w:left="0" w:firstLine="0"/>
              <w:rPr>
                <w:rFonts w:ascii="宋体" w:hAnsi="宋体"/>
                <w:color w:val="auto"/>
                <w:szCs w:val="21"/>
                <w:highlight w:val="none"/>
              </w:rPr>
            </w:pPr>
            <w:r>
              <w:rPr>
                <w:rFonts w:hint="eastAsia" w:ascii="宋体" w:hAnsi="宋体"/>
                <w:color w:val="auto"/>
                <w:szCs w:val="21"/>
                <w:highlight w:val="none"/>
              </w:rPr>
              <w:t>b.竞包人未增加发包人的责任范围，或减少竞包人义务；</w:t>
            </w:r>
          </w:p>
          <w:p w14:paraId="0C0A2F76">
            <w:pPr>
              <w:pStyle w:val="14"/>
              <w:ind w:left="0" w:firstLine="0"/>
              <w:rPr>
                <w:rFonts w:ascii="宋体" w:hAnsi="宋体"/>
                <w:color w:val="auto"/>
                <w:szCs w:val="21"/>
                <w:highlight w:val="none"/>
              </w:rPr>
            </w:pPr>
            <w:r>
              <w:rPr>
                <w:rFonts w:hint="eastAsia" w:ascii="宋体" w:hAnsi="宋体"/>
                <w:color w:val="auto"/>
                <w:szCs w:val="21"/>
                <w:highlight w:val="none"/>
              </w:rPr>
              <w:t>c.竞包人未提出不同的支付办法；</w:t>
            </w:r>
          </w:p>
          <w:p w14:paraId="1D4EA1B5">
            <w:pPr>
              <w:pStyle w:val="14"/>
              <w:ind w:left="0" w:firstLine="0"/>
              <w:rPr>
                <w:rFonts w:ascii="宋体" w:hAnsi="宋体"/>
                <w:color w:val="auto"/>
                <w:szCs w:val="21"/>
                <w:highlight w:val="none"/>
              </w:rPr>
            </w:pPr>
            <w:r>
              <w:rPr>
                <w:rFonts w:hint="eastAsia" w:ascii="宋体" w:hAnsi="宋体"/>
                <w:color w:val="auto"/>
                <w:szCs w:val="21"/>
                <w:highlight w:val="none"/>
              </w:rPr>
              <w:t>d.竞包人对合同纠纷、事故处理办法未提出异议；</w:t>
            </w:r>
          </w:p>
          <w:p w14:paraId="4823FBC5">
            <w:pPr>
              <w:pStyle w:val="14"/>
              <w:ind w:left="0" w:firstLine="0"/>
              <w:rPr>
                <w:rFonts w:ascii="宋体" w:hAnsi="宋体"/>
                <w:color w:val="auto"/>
                <w:szCs w:val="21"/>
                <w:highlight w:val="none"/>
              </w:rPr>
            </w:pPr>
            <w:r>
              <w:rPr>
                <w:rFonts w:hint="eastAsia" w:ascii="宋体" w:hAnsi="宋体"/>
                <w:color w:val="auto"/>
                <w:szCs w:val="21"/>
                <w:highlight w:val="none"/>
              </w:rPr>
              <w:t>e.竞包人在竞包活动中无欺诈行为；</w:t>
            </w:r>
          </w:p>
          <w:p w14:paraId="1CF2ADE2">
            <w:pPr>
              <w:pStyle w:val="14"/>
              <w:ind w:left="0" w:firstLine="0"/>
              <w:rPr>
                <w:rFonts w:ascii="宋体" w:hAnsi="宋体"/>
                <w:color w:val="auto"/>
                <w:szCs w:val="21"/>
                <w:highlight w:val="none"/>
              </w:rPr>
            </w:pPr>
            <w:r>
              <w:rPr>
                <w:rFonts w:hint="eastAsia" w:ascii="宋体" w:hAnsi="宋体"/>
                <w:color w:val="auto"/>
                <w:szCs w:val="21"/>
                <w:highlight w:val="none"/>
              </w:rPr>
              <w:t>f.竞包人未对合同条款有重要保留。</w:t>
            </w:r>
          </w:p>
          <w:p w14:paraId="5CFF7E01">
            <w:pPr>
              <w:pStyle w:val="14"/>
              <w:ind w:left="0" w:firstLine="0"/>
              <w:rPr>
                <w:rFonts w:ascii="宋体" w:hAnsi="宋体"/>
                <w:color w:val="auto"/>
                <w:szCs w:val="21"/>
                <w:highlight w:val="none"/>
              </w:rPr>
            </w:pPr>
            <w:r>
              <w:rPr>
                <w:rFonts w:hint="eastAsia" w:ascii="宋体" w:hAnsi="宋体"/>
                <w:color w:val="auto"/>
                <w:szCs w:val="21"/>
                <w:highlight w:val="none"/>
              </w:rPr>
              <w:t>（13）人员、业绩、履约信誉证明材料真实、有效。</w:t>
            </w:r>
          </w:p>
          <w:p w14:paraId="0951C944">
            <w:pPr>
              <w:pStyle w:val="14"/>
              <w:ind w:left="0" w:firstLine="0"/>
              <w:rPr>
                <w:rFonts w:ascii="宋体" w:hAnsi="宋体"/>
                <w:color w:val="auto"/>
                <w:szCs w:val="21"/>
                <w:highlight w:val="none"/>
              </w:rPr>
            </w:pPr>
            <w:r>
              <w:rPr>
                <w:rFonts w:hint="eastAsia" w:ascii="宋体" w:hAnsi="宋体"/>
                <w:color w:val="auto"/>
                <w:szCs w:val="21"/>
                <w:highlight w:val="none"/>
              </w:rPr>
              <w:t>（14）2025年1月1日以来，被交通运输部、浙江省交通运输厅、浙江省发展和改革委员会三部门以外的省级及以上单位（部门）书面通报限制竞包，并在处罚期内的，隐瞒不报的一经查实，作否决竞包处理，并视为竞包人提供虚假资料，按竞包人须知第3.5.9项处理。</w:t>
            </w:r>
          </w:p>
          <w:p w14:paraId="2ED848BF">
            <w:pPr>
              <w:pStyle w:val="14"/>
              <w:ind w:left="0" w:firstLine="0"/>
              <w:rPr>
                <w:rFonts w:ascii="宋体" w:hAnsi="宋体"/>
                <w:color w:val="auto"/>
                <w:szCs w:val="21"/>
                <w:highlight w:val="none"/>
              </w:rPr>
            </w:pPr>
            <w:r>
              <w:rPr>
                <w:rFonts w:hint="eastAsia" w:ascii="宋体" w:hAnsi="宋体"/>
                <w:color w:val="auto"/>
                <w:szCs w:val="21"/>
                <w:highlight w:val="none"/>
              </w:rPr>
              <w:t>第二个信封（报价文件）评审标准：</w:t>
            </w:r>
          </w:p>
          <w:p w14:paraId="1E4468F3">
            <w:pPr>
              <w:pStyle w:val="14"/>
              <w:ind w:left="0" w:firstLine="0"/>
              <w:rPr>
                <w:rFonts w:ascii="宋体" w:hAnsi="宋体"/>
                <w:color w:val="auto"/>
                <w:szCs w:val="21"/>
                <w:highlight w:val="none"/>
              </w:rPr>
            </w:pPr>
            <w:r>
              <w:rPr>
                <w:rFonts w:hint="eastAsia" w:ascii="宋体" w:hAnsi="宋体"/>
                <w:color w:val="auto"/>
                <w:szCs w:val="21"/>
                <w:highlight w:val="none"/>
              </w:rPr>
              <w:t>（1）竞包文件按照发包文件规定的格式、内容填写，字迹清晰可辨，内容齐全完整：</w:t>
            </w:r>
          </w:p>
          <w:p w14:paraId="07D759EC">
            <w:pPr>
              <w:pStyle w:val="14"/>
              <w:ind w:left="0" w:firstLine="0"/>
              <w:rPr>
                <w:rFonts w:ascii="宋体" w:hAnsi="宋体"/>
                <w:color w:val="auto"/>
                <w:szCs w:val="21"/>
                <w:highlight w:val="none"/>
              </w:rPr>
            </w:pPr>
            <w:r>
              <w:rPr>
                <w:rFonts w:hint="eastAsia" w:ascii="宋体" w:hAnsi="宋体"/>
                <w:color w:val="auto"/>
                <w:szCs w:val="21"/>
                <w:highlight w:val="none"/>
              </w:rPr>
              <w:t>a.竞包函按发包文件规定填报了项目名称、标段号、补遗书编号（如有）、竞包价（包括大写金额和小写金额），且竞包人名称与第一个信封竞包人名称一致；</w:t>
            </w:r>
          </w:p>
          <w:p w14:paraId="77E7CDF5">
            <w:pPr>
              <w:pStyle w:val="14"/>
              <w:ind w:left="0" w:firstLine="0"/>
              <w:rPr>
                <w:rFonts w:ascii="宋体" w:hAnsi="宋体"/>
                <w:color w:val="auto"/>
                <w:szCs w:val="21"/>
                <w:highlight w:val="none"/>
              </w:rPr>
            </w:pPr>
            <w:r>
              <w:rPr>
                <w:rFonts w:hint="eastAsia" w:ascii="宋体" w:hAnsi="宋体"/>
                <w:color w:val="auto"/>
                <w:szCs w:val="21"/>
                <w:highlight w:val="none"/>
              </w:rPr>
              <w:t>b.己标价报价清单说明文字与发包文件规定一致，未进行实质性修改和删减；</w:t>
            </w:r>
          </w:p>
          <w:p w14:paraId="04D3354A">
            <w:pPr>
              <w:pStyle w:val="14"/>
              <w:ind w:left="0" w:firstLine="0"/>
              <w:rPr>
                <w:rFonts w:ascii="宋体" w:hAnsi="宋体"/>
                <w:color w:val="auto"/>
                <w:szCs w:val="21"/>
                <w:highlight w:val="none"/>
              </w:rPr>
            </w:pPr>
            <w:r>
              <w:rPr>
                <w:rFonts w:hint="eastAsia" w:ascii="宋体" w:hAnsi="宋体"/>
                <w:color w:val="auto"/>
                <w:szCs w:val="21"/>
                <w:highlight w:val="none"/>
              </w:rPr>
              <w:t>c.竞包文件组成齐全完整，内容均按规定填写。</w:t>
            </w:r>
          </w:p>
          <w:p w14:paraId="46A29BD4">
            <w:pPr>
              <w:pStyle w:val="14"/>
              <w:ind w:left="0" w:firstLine="0"/>
              <w:rPr>
                <w:rFonts w:ascii="宋体" w:hAnsi="宋体"/>
                <w:color w:val="auto"/>
                <w:szCs w:val="21"/>
                <w:highlight w:val="none"/>
              </w:rPr>
            </w:pPr>
            <w:r>
              <w:rPr>
                <w:rFonts w:hint="eastAsia" w:ascii="宋体" w:hAnsi="宋体"/>
                <w:color w:val="auto"/>
                <w:szCs w:val="21"/>
                <w:highlight w:val="none"/>
              </w:rPr>
              <w:t>（2）竞包文件中法定代表人章、竞包人的单位印章盖章齐全，符合发包文件规定。</w:t>
            </w:r>
          </w:p>
          <w:p w14:paraId="0D1A4024">
            <w:pPr>
              <w:pStyle w:val="14"/>
              <w:ind w:left="0" w:firstLine="0"/>
              <w:rPr>
                <w:rFonts w:ascii="宋体" w:hAnsi="宋体"/>
                <w:color w:val="auto"/>
                <w:szCs w:val="21"/>
                <w:highlight w:val="none"/>
              </w:rPr>
            </w:pPr>
            <w:r>
              <w:rPr>
                <w:rFonts w:hint="eastAsia" w:ascii="宋体" w:hAnsi="宋体"/>
                <w:color w:val="auto"/>
                <w:szCs w:val="21"/>
                <w:highlight w:val="none"/>
              </w:rPr>
              <w:t>（3）竞包报价未超过发包文件设定的最高竞包限价。</w:t>
            </w:r>
          </w:p>
          <w:p w14:paraId="595D1199">
            <w:pPr>
              <w:pStyle w:val="14"/>
              <w:ind w:left="0" w:firstLine="0"/>
              <w:rPr>
                <w:rFonts w:ascii="宋体" w:hAnsi="宋体"/>
                <w:color w:val="auto"/>
                <w:szCs w:val="21"/>
                <w:highlight w:val="none"/>
              </w:rPr>
            </w:pPr>
            <w:r>
              <w:rPr>
                <w:rFonts w:hint="eastAsia" w:ascii="宋体" w:hAnsi="宋体"/>
                <w:color w:val="auto"/>
                <w:szCs w:val="21"/>
                <w:highlight w:val="none"/>
              </w:rPr>
              <w:t>（4）竞包报价的大写金额能够确定具体数值。</w:t>
            </w:r>
          </w:p>
          <w:p w14:paraId="4EFBD9ED">
            <w:pPr>
              <w:pStyle w:val="14"/>
              <w:ind w:left="0" w:firstLine="0"/>
              <w:rPr>
                <w:rFonts w:ascii="宋体" w:hAnsi="宋体"/>
                <w:color w:val="auto"/>
                <w:szCs w:val="21"/>
                <w:highlight w:val="none"/>
              </w:rPr>
            </w:pPr>
            <w:r>
              <w:rPr>
                <w:rFonts w:hint="eastAsia" w:ascii="宋体" w:hAnsi="宋体"/>
                <w:color w:val="auto"/>
                <w:szCs w:val="21"/>
                <w:highlight w:val="none"/>
              </w:rPr>
              <w:t>（5）同一竞包人未提交两个以上不同的竞包报价，但发包文件要求提交备选竞包的除外。</w:t>
            </w:r>
          </w:p>
        </w:tc>
      </w:tr>
    </w:tbl>
    <w:p w14:paraId="2C91F090">
      <w:pPr>
        <w:pStyle w:val="14"/>
        <w:jc w:val="right"/>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续上表</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558"/>
        <w:gridCol w:w="7219"/>
      </w:tblGrid>
      <w:tr w14:paraId="7D4CE1E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2" w:hRule="atLeast"/>
        </w:trPr>
        <w:tc>
          <w:tcPr>
            <w:tcW w:w="850" w:type="dxa"/>
            <w:vAlign w:val="center"/>
          </w:tcPr>
          <w:p w14:paraId="0836A2A0">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558" w:type="dxa"/>
            <w:vAlign w:val="center"/>
          </w:tcPr>
          <w:p w14:paraId="7C677718">
            <w:pPr>
              <w:pStyle w:val="14"/>
              <w:ind w:left="0" w:firstLine="0"/>
              <w:rPr>
                <w:rFonts w:ascii="宋体" w:hAnsi="宋体"/>
                <w:color w:val="auto"/>
                <w:szCs w:val="21"/>
                <w:highlight w:val="none"/>
              </w:rPr>
            </w:pPr>
            <w:r>
              <w:rPr>
                <w:rFonts w:hint="eastAsia" w:ascii="宋体" w:hAnsi="宋体"/>
                <w:color w:val="auto"/>
                <w:szCs w:val="21"/>
                <w:highlight w:val="none"/>
              </w:rPr>
              <w:t>条款名称</w:t>
            </w:r>
          </w:p>
        </w:tc>
        <w:tc>
          <w:tcPr>
            <w:tcW w:w="7219" w:type="dxa"/>
            <w:vAlign w:val="center"/>
          </w:tcPr>
          <w:p w14:paraId="5A64B3D3">
            <w:pPr>
              <w:pStyle w:val="14"/>
              <w:ind w:left="0" w:firstLine="0"/>
              <w:rPr>
                <w:rFonts w:ascii="宋体" w:hAnsi="宋体"/>
                <w:color w:val="auto"/>
                <w:szCs w:val="21"/>
                <w:highlight w:val="none"/>
              </w:rPr>
            </w:pPr>
            <w:r>
              <w:rPr>
                <w:rFonts w:hint="eastAsia" w:ascii="宋体" w:hAnsi="宋体"/>
                <w:color w:val="auto"/>
                <w:szCs w:val="21"/>
                <w:highlight w:val="none"/>
              </w:rPr>
              <w:t>评审因素与评审标准</w:t>
            </w:r>
          </w:p>
        </w:tc>
      </w:tr>
      <w:tr w14:paraId="420264C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527" w:hRule="atLeast"/>
        </w:trPr>
        <w:tc>
          <w:tcPr>
            <w:tcW w:w="850" w:type="dxa"/>
            <w:vAlign w:val="center"/>
          </w:tcPr>
          <w:p w14:paraId="326E92AE">
            <w:pPr>
              <w:pStyle w:val="14"/>
              <w:ind w:left="0" w:firstLine="0"/>
              <w:rPr>
                <w:rFonts w:ascii="宋体" w:hAnsi="宋体"/>
                <w:color w:val="auto"/>
                <w:szCs w:val="21"/>
                <w:highlight w:val="none"/>
              </w:rPr>
            </w:pPr>
            <w:r>
              <w:rPr>
                <w:rFonts w:hint="eastAsia" w:ascii="宋体" w:hAnsi="宋体"/>
                <w:color w:val="auto"/>
                <w:szCs w:val="21"/>
                <w:highlight w:val="none"/>
              </w:rPr>
              <w:t>2.1.2</w:t>
            </w:r>
          </w:p>
        </w:tc>
        <w:tc>
          <w:tcPr>
            <w:tcW w:w="1558" w:type="dxa"/>
            <w:vAlign w:val="center"/>
          </w:tcPr>
          <w:p w14:paraId="24E2B253">
            <w:pPr>
              <w:pStyle w:val="14"/>
              <w:ind w:left="0" w:firstLine="0"/>
              <w:rPr>
                <w:rFonts w:ascii="宋体" w:hAnsi="宋体"/>
                <w:color w:val="auto"/>
                <w:szCs w:val="21"/>
                <w:highlight w:val="none"/>
              </w:rPr>
            </w:pPr>
            <w:r>
              <w:rPr>
                <w:rFonts w:hint="eastAsia" w:ascii="宋体" w:hAnsi="宋体"/>
                <w:color w:val="auto"/>
                <w:szCs w:val="21"/>
                <w:highlight w:val="none"/>
              </w:rPr>
              <w:t>资格评审标准</w:t>
            </w:r>
          </w:p>
        </w:tc>
        <w:tc>
          <w:tcPr>
            <w:tcW w:w="7219" w:type="dxa"/>
            <w:vAlign w:val="center"/>
          </w:tcPr>
          <w:p w14:paraId="3773232F">
            <w:pPr>
              <w:pStyle w:val="14"/>
              <w:ind w:left="0" w:firstLine="0"/>
              <w:rPr>
                <w:rFonts w:ascii="宋体" w:hAnsi="宋体"/>
                <w:color w:val="auto"/>
                <w:szCs w:val="21"/>
                <w:highlight w:val="none"/>
              </w:rPr>
            </w:pPr>
            <w:r>
              <w:rPr>
                <w:rFonts w:hint="eastAsia" w:ascii="宋体" w:hAnsi="宋体"/>
                <w:color w:val="auto"/>
                <w:szCs w:val="21"/>
                <w:highlight w:val="none"/>
              </w:rPr>
              <w:t>（1）竞包人具备有效的营业执照、设计资质证书和基本账户开户许可证（或银行出具的基本账户存款证明或基本存款账户信息）；</w:t>
            </w:r>
          </w:p>
          <w:p w14:paraId="16D1EA8F">
            <w:pPr>
              <w:pStyle w:val="14"/>
              <w:ind w:left="0" w:firstLine="0"/>
              <w:rPr>
                <w:rFonts w:ascii="宋体" w:hAnsi="宋体"/>
                <w:color w:val="auto"/>
                <w:szCs w:val="21"/>
                <w:highlight w:val="none"/>
              </w:rPr>
            </w:pPr>
            <w:r>
              <w:rPr>
                <w:rFonts w:hint="eastAsia" w:ascii="宋体" w:hAnsi="宋体"/>
                <w:color w:val="auto"/>
                <w:szCs w:val="21"/>
                <w:highlight w:val="none"/>
              </w:rPr>
              <w:t>（2）竞包人的资质等级符合发包文件第二章“竞包人须知前附表”附录1的规定；</w:t>
            </w:r>
          </w:p>
          <w:p w14:paraId="7C62D502">
            <w:pPr>
              <w:pStyle w:val="14"/>
              <w:ind w:left="0" w:firstLine="0"/>
              <w:rPr>
                <w:rFonts w:ascii="宋体" w:hAnsi="宋体"/>
                <w:color w:val="auto"/>
                <w:szCs w:val="21"/>
                <w:highlight w:val="none"/>
              </w:rPr>
            </w:pPr>
            <w:r>
              <w:rPr>
                <w:rFonts w:hint="eastAsia" w:ascii="宋体" w:hAnsi="宋体"/>
                <w:color w:val="auto"/>
                <w:szCs w:val="21"/>
                <w:highlight w:val="none"/>
              </w:rPr>
              <w:t xml:space="preserve">（3）竞包人的类似项目业绩符合发包文件第二章“竞包人须知前附表”附录2的规定； </w:t>
            </w:r>
          </w:p>
          <w:p w14:paraId="68F8AC60">
            <w:pPr>
              <w:pStyle w:val="14"/>
              <w:ind w:left="0" w:firstLine="0"/>
              <w:rPr>
                <w:rFonts w:ascii="宋体" w:hAnsi="宋体"/>
                <w:color w:val="auto"/>
                <w:szCs w:val="21"/>
                <w:highlight w:val="none"/>
              </w:rPr>
            </w:pPr>
            <w:r>
              <w:rPr>
                <w:rFonts w:hint="eastAsia" w:ascii="宋体" w:hAnsi="宋体"/>
                <w:color w:val="auto"/>
                <w:szCs w:val="21"/>
                <w:highlight w:val="none"/>
              </w:rPr>
              <w:t>（4）竞包人的信誉符合发包文件第二章“竞包人须知前附表”附录3的规定；</w:t>
            </w:r>
          </w:p>
          <w:p w14:paraId="6100EDCF">
            <w:pPr>
              <w:pStyle w:val="14"/>
              <w:ind w:left="0" w:firstLine="0"/>
              <w:rPr>
                <w:rFonts w:ascii="宋体" w:hAnsi="宋体"/>
                <w:color w:val="auto"/>
                <w:szCs w:val="21"/>
                <w:highlight w:val="none"/>
              </w:rPr>
            </w:pPr>
            <w:r>
              <w:rPr>
                <w:rFonts w:hint="eastAsia" w:ascii="宋体" w:hAnsi="宋体"/>
                <w:color w:val="auto"/>
                <w:szCs w:val="21"/>
                <w:highlight w:val="none"/>
              </w:rPr>
              <w:t>（5）竞包人的项目负责人资格符合发包文件第二章“竞包人须知前附表”附录4的规定；</w:t>
            </w:r>
          </w:p>
          <w:p w14:paraId="00548B3B">
            <w:pPr>
              <w:pStyle w:val="14"/>
              <w:ind w:left="0" w:firstLine="0"/>
              <w:rPr>
                <w:rFonts w:ascii="宋体" w:hAnsi="宋体"/>
                <w:color w:val="auto"/>
                <w:szCs w:val="21"/>
                <w:highlight w:val="none"/>
              </w:rPr>
            </w:pPr>
            <w:r>
              <w:rPr>
                <w:rFonts w:hint="eastAsia" w:ascii="宋体" w:hAnsi="宋体"/>
                <w:color w:val="auto"/>
                <w:szCs w:val="21"/>
                <w:highlight w:val="none"/>
              </w:rPr>
              <w:t>（7）竞包人符合第二章“竞包人须知”第1.4.5项规定；</w:t>
            </w:r>
          </w:p>
          <w:p w14:paraId="2FA95A2C">
            <w:pPr>
              <w:pStyle w:val="14"/>
              <w:ind w:left="0" w:firstLine="0"/>
              <w:rPr>
                <w:rFonts w:ascii="宋体" w:hAnsi="宋体"/>
                <w:color w:val="auto"/>
                <w:szCs w:val="21"/>
                <w:highlight w:val="none"/>
              </w:rPr>
            </w:pPr>
          </w:p>
        </w:tc>
      </w:tr>
    </w:tbl>
    <w:p w14:paraId="5169BD5B">
      <w:pPr>
        <w:pStyle w:val="14"/>
        <w:ind w:right="105" w:firstLine="420" w:firstLineChars="200"/>
        <w:jc w:val="right"/>
        <w:rPr>
          <w:rFonts w:ascii="宋体" w:hAnsi="宋体"/>
          <w:color w:val="auto"/>
          <w:szCs w:val="21"/>
          <w:highlight w:val="none"/>
        </w:rPr>
      </w:pPr>
      <w:r>
        <w:rPr>
          <w:rFonts w:hint="eastAsia" w:ascii="宋体" w:hAnsi="宋体"/>
          <w:color w:val="auto"/>
          <w:szCs w:val="21"/>
          <w:highlight w:val="none"/>
        </w:rPr>
        <w:tab/>
      </w:r>
    </w:p>
    <w:p w14:paraId="6CEC9631">
      <w:pPr>
        <w:pStyle w:val="14"/>
        <w:ind w:right="105" w:firstLine="420" w:firstLineChars="200"/>
        <w:jc w:val="right"/>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续上表</w:t>
      </w:r>
    </w:p>
    <w:tbl>
      <w:tblPr>
        <w:tblStyle w:val="34"/>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560"/>
        <w:gridCol w:w="6804"/>
      </w:tblGrid>
      <w:tr w14:paraId="45EA40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80" w:hRule="atLeast"/>
        </w:trPr>
        <w:tc>
          <w:tcPr>
            <w:tcW w:w="1134" w:type="dxa"/>
            <w:tcBorders>
              <w:bottom w:val="single" w:color="auto" w:sz="4" w:space="0"/>
            </w:tcBorders>
            <w:vAlign w:val="center"/>
          </w:tcPr>
          <w:p w14:paraId="4C89EB19">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560" w:type="dxa"/>
            <w:tcBorders>
              <w:bottom w:val="single" w:color="auto" w:sz="4" w:space="0"/>
            </w:tcBorders>
            <w:vAlign w:val="center"/>
          </w:tcPr>
          <w:p w14:paraId="16F7BB8E">
            <w:pPr>
              <w:pStyle w:val="14"/>
              <w:ind w:left="0" w:firstLine="0"/>
              <w:rPr>
                <w:rFonts w:ascii="宋体" w:hAnsi="宋体"/>
                <w:color w:val="auto"/>
                <w:szCs w:val="21"/>
                <w:highlight w:val="none"/>
              </w:rPr>
            </w:pPr>
            <w:r>
              <w:rPr>
                <w:rFonts w:hint="eastAsia" w:ascii="宋体" w:hAnsi="宋体"/>
                <w:color w:val="auto"/>
                <w:szCs w:val="21"/>
                <w:highlight w:val="none"/>
              </w:rPr>
              <w:t>条款内容</w:t>
            </w:r>
          </w:p>
        </w:tc>
        <w:tc>
          <w:tcPr>
            <w:tcW w:w="6804" w:type="dxa"/>
            <w:tcBorders>
              <w:bottom w:val="single" w:color="auto" w:sz="4" w:space="0"/>
            </w:tcBorders>
            <w:vAlign w:val="center"/>
          </w:tcPr>
          <w:p w14:paraId="3C7C7EFA">
            <w:pPr>
              <w:pStyle w:val="14"/>
              <w:ind w:left="0" w:firstLine="0"/>
              <w:rPr>
                <w:rFonts w:ascii="宋体" w:hAnsi="宋体"/>
                <w:color w:val="auto"/>
                <w:szCs w:val="21"/>
                <w:highlight w:val="none"/>
              </w:rPr>
            </w:pPr>
            <w:r>
              <w:rPr>
                <w:rFonts w:hint="eastAsia" w:ascii="宋体" w:hAnsi="宋体"/>
                <w:color w:val="auto"/>
                <w:szCs w:val="21"/>
                <w:highlight w:val="none"/>
              </w:rPr>
              <w:t>评审因素与评审标准</w:t>
            </w:r>
          </w:p>
        </w:tc>
      </w:tr>
      <w:tr w14:paraId="081743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00" w:hRule="atLeast"/>
        </w:trPr>
        <w:tc>
          <w:tcPr>
            <w:tcW w:w="1134" w:type="dxa"/>
            <w:tcBorders>
              <w:top w:val="single" w:color="auto" w:sz="4" w:space="0"/>
            </w:tcBorders>
            <w:vAlign w:val="center"/>
          </w:tcPr>
          <w:p w14:paraId="019E5157">
            <w:pPr>
              <w:pStyle w:val="14"/>
              <w:ind w:left="0" w:firstLine="0"/>
              <w:rPr>
                <w:rFonts w:ascii="宋体" w:hAnsi="宋体"/>
                <w:color w:val="auto"/>
                <w:szCs w:val="21"/>
                <w:highlight w:val="none"/>
              </w:rPr>
            </w:pPr>
            <w:r>
              <w:rPr>
                <w:rFonts w:hint="eastAsia" w:ascii="宋体" w:hAnsi="宋体"/>
                <w:color w:val="auto"/>
                <w:szCs w:val="21"/>
                <w:highlight w:val="none"/>
              </w:rPr>
              <w:t>2.2.1</w:t>
            </w:r>
          </w:p>
        </w:tc>
        <w:tc>
          <w:tcPr>
            <w:tcW w:w="1560" w:type="dxa"/>
            <w:tcBorders>
              <w:top w:val="single" w:color="auto" w:sz="4" w:space="0"/>
            </w:tcBorders>
            <w:vAlign w:val="center"/>
          </w:tcPr>
          <w:p w14:paraId="6B25BA81">
            <w:pPr>
              <w:pStyle w:val="14"/>
              <w:ind w:left="0" w:firstLine="0"/>
              <w:rPr>
                <w:rFonts w:ascii="宋体" w:hAnsi="宋体"/>
                <w:color w:val="auto"/>
                <w:szCs w:val="21"/>
                <w:highlight w:val="none"/>
              </w:rPr>
            </w:pPr>
            <w:r>
              <w:rPr>
                <w:rFonts w:hint="eastAsia" w:ascii="宋体" w:hAnsi="宋体"/>
                <w:color w:val="auto"/>
                <w:szCs w:val="21"/>
                <w:highlight w:val="none"/>
              </w:rPr>
              <w:t>分值构成</w:t>
            </w:r>
          </w:p>
          <w:p w14:paraId="5FA94AFD">
            <w:pPr>
              <w:pStyle w:val="14"/>
              <w:ind w:left="0" w:firstLine="0"/>
              <w:rPr>
                <w:rFonts w:ascii="宋体" w:hAnsi="宋体"/>
                <w:color w:val="auto"/>
                <w:szCs w:val="21"/>
                <w:highlight w:val="none"/>
              </w:rPr>
            </w:pPr>
            <w:r>
              <w:rPr>
                <w:rFonts w:hint="eastAsia" w:ascii="宋体" w:hAnsi="宋体"/>
                <w:color w:val="auto"/>
                <w:szCs w:val="21"/>
                <w:highlight w:val="none"/>
              </w:rPr>
              <w:t>（总分100分）</w:t>
            </w:r>
          </w:p>
        </w:tc>
        <w:tc>
          <w:tcPr>
            <w:tcW w:w="6804" w:type="dxa"/>
            <w:tcBorders>
              <w:top w:val="single" w:color="auto" w:sz="4" w:space="0"/>
            </w:tcBorders>
            <w:vAlign w:val="center"/>
          </w:tcPr>
          <w:p w14:paraId="151547BF">
            <w:pPr>
              <w:pStyle w:val="14"/>
              <w:ind w:left="0" w:firstLine="0"/>
              <w:rPr>
                <w:rFonts w:ascii="宋体" w:hAnsi="宋体"/>
                <w:color w:val="auto"/>
                <w:szCs w:val="21"/>
                <w:highlight w:val="none"/>
              </w:rPr>
            </w:pPr>
            <w:r>
              <w:rPr>
                <w:rFonts w:hint="eastAsia" w:ascii="宋体" w:hAnsi="宋体"/>
                <w:color w:val="auto"/>
                <w:szCs w:val="21"/>
                <w:highlight w:val="none"/>
              </w:rPr>
              <w:t>第一个信封（商务及技术文件）评分分值构成：</w:t>
            </w:r>
          </w:p>
          <w:p w14:paraId="01E6EDE2">
            <w:pPr>
              <w:pStyle w:val="14"/>
              <w:ind w:left="0" w:firstLine="0"/>
              <w:rPr>
                <w:rFonts w:ascii="宋体" w:hAnsi="宋体"/>
                <w:color w:val="auto"/>
                <w:szCs w:val="21"/>
                <w:highlight w:val="none"/>
              </w:rPr>
            </w:pPr>
            <w:r>
              <w:rPr>
                <w:rFonts w:hint="eastAsia" w:ascii="宋体" w:hAnsi="宋体"/>
                <w:color w:val="auto"/>
                <w:szCs w:val="21"/>
                <w:highlight w:val="none"/>
              </w:rPr>
              <w:t>技术建议书：45分</w:t>
            </w:r>
          </w:p>
          <w:p w14:paraId="7ED060DC">
            <w:pPr>
              <w:pStyle w:val="14"/>
              <w:ind w:left="0" w:firstLine="0"/>
              <w:rPr>
                <w:rFonts w:ascii="宋体" w:hAnsi="宋体"/>
                <w:color w:val="auto"/>
                <w:szCs w:val="21"/>
                <w:highlight w:val="none"/>
              </w:rPr>
            </w:pPr>
            <w:r>
              <w:rPr>
                <w:rFonts w:hint="eastAsia" w:ascii="宋体" w:hAnsi="宋体"/>
                <w:color w:val="auto"/>
                <w:szCs w:val="21"/>
                <w:highlight w:val="none"/>
              </w:rPr>
              <w:t>主要人员：25分</w:t>
            </w:r>
          </w:p>
          <w:p w14:paraId="3871629B">
            <w:pPr>
              <w:pStyle w:val="14"/>
              <w:ind w:left="0" w:firstLine="0"/>
              <w:rPr>
                <w:rFonts w:ascii="宋体" w:hAnsi="宋体"/>
                <w:color w:val="auto"/>
                <w:szCs w:val="21"/>
                <w:highlight w:val="none"/>
              </w:rPr>
            </w:pPr>
            <w:r>
              <w:rPr>
                <w:rFonts w:hint="eastAsia" w:ascii="宋体" w:hAnsi="宋体"/>
                <w:color w:val="auto"/>
                <w:szCs w:val="21"/>
                <w:highlight w:val="none"/>
              </w:rPr>
              <w:t>技术能力：0分</w:t>
            </w:r>
          </w:p>
          <w:p w14:paraId="186C8069">
            <w:pPr>
              <w:pStyle w:val="14"/>
              <w:ind w:left="0" w:firstLine="0"/>
              <w:rPr>
                <w:rFonts w:ascii="宋体" w:hAnsi="宋体"/>
                <w:color w:val="auto"/>
                <w:szCs w:val="21"/>
                <w:highlight w:val="none"/>
              </w:rPr>
            </w:pPr>
            <w:r>
              <w:rPr>
                <w:rFonts w:hint="eastAsia" w:ascii="宋体" w:hAnsi="宋体"/>
                <w:color w:val="auto"/>
                <w:szCs w:val="21"/>
                <w:highlight w:val="none"/>
              </w:rPr>
              <w:t>业绩：10分</w:t>
            </w:r>
          </w:p>
          <w:p w14:paraId="652ECE57">
            <w:pPr>
              <w:pStyle w:val="14"/>
              <w:ind w:left="0" w:firstLine="0"/>
              <w:rPr>
                <w:rFonts w:ascii="宋体" w:hAnsi="宋体"/>
                <w:color w:val="auto"/>
                <w:szCs w:val="21"/>
                <w:highlight w:val="none"/>
              </w:rPr>
            </w:pPr>
            <w:r>
              <w:rPr>
                <w:rFonts w:hint="eastAsia" w:ascii="宋体" w:hAnsi="宋体"/>
                <w:color w:val="auto"/>
                <w:szCs w:val="21"/>
                <w:highlight w:val="none"/>
              </w:rPr>
              <w:t>履约信誉：10分</w:t>
            </w:r>
          </w:p>
          <w:p w14:paraId="6FDCAA83">
            <w:pPr>
              <w:pStyle w:val="14"/>
              <w:ind w:left="0" w:firstLine="0"/>
              <w:rPr>
                <w:rFonts w:ascii="宋体" w:hAnsi="宋体"/>
                <w:color w:val="auto"/>
                <w:szCs w:val="21"/>
                <w:highlight w:val="none"/>
              </w:rPr>
            </w:pPr>
            <w:r>
              <w:rPr>
                <w:rFonts w:hint="eastAsia" w:ascii="宋体" w:hAnsi="宋体"/>
                <w:color w:val="auto"/>
                <w:szCs w:val="21"/>
                <w:highlight w:val="none"/>
              </w:rPr>
              <w:t>第二个信封（报价文件）评分分值构成：</w:t>
            </w:r>
          </w:p>
          <w:p w14:paraId="7018F51D">
            <w:pPr>
              <w:pStyle w:val="14"/>
              <w:ind w:left="0" w:firstLine="0"/>
              <w:rPr>
                <w:rFonts w:ascii="宋体" w:hAnsi="宋体"/>
                <w:color w:val="auto"/>
                <w:szCs w:val="21"/>
                <w:highlight w:val="none"/>
              </w:rPr>
            </w:pPr>
            <w:r>
              <w:rPr>
                <w:rFonts w:hint="eastAsia" w:ascii="宋体" w:hAnsi="宋体"/>
                <w:color w:val="auto"/>
                <w:szCs w:val="21"/>
                <w:highlight w:val="none"/>
              </w:rPr>
              <w:t>评标价：10分</w:t>
            </w:r>
          </w:p>
        </w:tc>
      </w:tr>
      <w:tr w14:paraId="5B0965B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251" w:hRule="atLeast"/>
        </w:trPr>
        <w:tc>
          <w:tcPr>
            <w:tcW w:w="1134" w:type="dxa"/>
            <w:vAlign w:val="center"/>
          </w:tcPr>
          <w:p w14:paraId="4E437E52">
            <w:pPr>
              <w:pStyle w:val="14"/>
              <w:ind w:left="0" w:firstLine="0"/>
              <w:rPr>
                <w:rFonts w:ascii="宋体" w:hAnsi="宋体"/>
                <w:color w:val="auto"/>
                <w:szCs w:val="21"/>
                <w:highlight w:val="none"/>
              </w:rPr>
            </w:pPr>
            <w:r>
              <w:rPr>
                <w:rFonts w:hint="eastAsia" w:ascii="宋体" w:hAnsi="宋体"/>
                <w:color w:val="auto"/>
                <w:szCs w:val="21"/>
                <w:highlight w:val="none"/>
              </w:rPr>
              <w:t>2.2.2</w:t>
            </w:r>
          </w:p>
        </w:tc>
        <w:tc>
          <w:tcPr>
            <w:tcW w:w="1560" w:type="dxa"/>
            <w:vAlign w:val="center"/>
          </w:tcPr>
          <w:p w14:paraId="30C31DB7">
            <w:pPr>
              <w:pStyle w:val="14"/>
              <w:ind w:left="0" w:firstLine="0"/>
              <w:rPr>
                <w:rFonts w:ascii="宋体" w:hAnsi="宋体"/>
                <w:color w:val="auto"/>
                <w:szCs w:val="21"/>
                <w:highlight w:val="none"/>
              </w:rPr>
            </w:pPr>
            <w:r>
              <w:rPr>
                <w:rFonts w:hint="eastAsia" w:ascii="宋体" w:hAnsi="宋体"/>
                <w:color w:val="auto"/>
                <w:szCs w:val="21"/>
                <w:highlight w:val="none"/>
              </w:rPr>
              <w:t>评标基准价计算方法</w:t>
            </w:r>
          </w:p>
        </w:tc>
        <w:tc>
          <w:tcPr>
            <w:tcW w:w="6804" w:type="dxa"/>
            <w:vAlign w:val="center"/>
          </w:tcPr>
          <w:p w14:paraId="617862CC">
            <w:pPr>
              <w:pStyle w:val="14"/>
              <w:ind w:left="0" w:firstLine="0"/>
              <w:rPr>
                <w:rFonts w:ascii="宋体" w:hAnsi="宋体"/>
                <w:color w:val="auto"/>
                <w:szCs w:val="21"/>
                <w:highlight w:val="none"/>
              </w:rPr>
            </w:pPr>
            <w:r>
              <w:rPr>
                <w:rFonts w:hint="eastAsia" w:ascii="宋体" w:hAnsi="宋体"/>
                <w:color w:val="auto"/>
                <w:szCs w:val="21"/>
                <w:highlight w:val="none"/>
              </w:rPr>
              <w:t>评标基准价的计算：</w:t>
            </w:r>
          </w:p>
          <w:p w14:paraId="26EC7375">
            <w:pPr>
              <w:pStyle w:val="14"/>
              <w:ind w:left="0" w:firstLine="0"/>
              <w:rPr>
                <w:rFonts w:ascii="宋体" w:hAnsi="宋体"/>
                <w:color w:val="auto"/>
                <w:szCs w:val="21"/>
                <w:highlight w:val="none"/>
              </w:rPr>
            </w:pPr>
            <w:r>
              <w:rPr>
                <w:rFonts w:hint="eastAsia" w:ascii="宋体" w:hAnsi="宋体"/>
                <w:color w:val="auto"/>
                <w:szCs w:val="21"/>
                <w:highlight w:val="none"/>
              </w:rPr>
              <w:t>评标基准价由评标委员会计算、复核并签字确认。除计算差错外，确认后的评标基准价在本次发包期间保持不变。计算差错，仅限于以下两种情况：（1）纯算术性四则运算差错；（2）未按约定的计算方法，多计或少计竞包人报价。由于评标差错，导致否决竞包错误，重新评标纠正等其他情况，不属于计算差错。</w:t>
            </w:r>
          </w:p>
          <w:p w14:paraId="3378455A">
            <w:pPr>
              <w:pStyle w:val="14"/>
              <w:ind w:left="0" w:firstLine="0"/>
              <w:rPr>
                <w:rFonts w:ascii="宋体" w:hAnsi="宋体"/>
                <w:color w:val="auto"/>
                <w:szCs w:val="21"/>
                <w:highlight w:val="none"/>
              </w:rPr>
            </w:pPr>
            <w:r>
              <w:rPr>
                <w:rFonts w:hint="eastAsia" w:ascii="宋体" w:hAnsi="宋体"/>
                <w:color w:val="auto"/>
                <w:szCs w:val="21"/>
                <w:highlight w:val="none"/>
              </w:rPr>
              <w:t>（1）评标价的确定：</w:t>
            </w:r>
          </w:p>
          <w:p w14:paraId="4436CB7D">
            <w:pPr>
              <w:pStyle w:val="14"/>
              <w:ind w:left="0" w:firstLine="0"/>
              <w:rPr>
                <w:rFonts w:ascii="宋体" w:hAnsi="宋体"/>
                <w:color w:val="auto"/>
                <w:szCs w:val="21"/>
                <w:highlight w:val="none"/>
              </w:rPr>
            </w:pPr>
            <w:r>
              <w:rPr>
                <w:rFonts w:hint="eastAsia" w:ascii="宋体" w:hAnsi="宋体"/>
                <w:color w:val="auto"/>
                <w:szCs w:val="21"/>
                <w:highlight w:val="none"/>
              </w:rPr>
              <w:t>评标价＝竞包函文字报价</w:t>
            </w:r>
          </w:p>
          <w:p w14:paraId="6AB5E980">
            <w:pPr>
              <w:pStyle w:val="14"/>
              <w:ind w:left="0" w:firstLine="0"/>
              <w:rPr>
                <w:rFonts w:ascii="宋体" w:hAnsi="宋体"/>
                <w:color w:val="auto"/>
                <w:szCs w:val="21"/>
                <w:highlight w:val="none"/>
              </w:rPr>
            </w:pPr>
            <w:r>
              <w:rPr>
                <w:rFonts w:hint="eastAsia" w:ascii="宋体" w:hAnsi="宋体"/>
                <w:color w:val="auto"/>
                <w:szCs w:val="21"/>
                <w:highlight w:val="none"/>
              </w:rPr>
              <w:t>（2）评标价平均值的计算：</w:t>
            </w:r>
          </w:p>
          <w:p w14:paraId="53B40711">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方案一：所有通过第一个信封评审及第二个信封初步评审竞包人，按第一个信封（商务及技术文件）评审得分由高到低的顺序选取前3名（若不足3名，则选取相应数量），对其第二个信封（报价文件）的评标价作算术平均，将该平均值作为评标价平均值；</w:t>
            </w:r>
          </w:p>
          <w:p w14:paraId="039A8432">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A3"/>
            </w:r>
            <w:r>
              <w:rPr>
                <w:rFonts w:hint="eastAsia" w:ascii="宋体" w:hAnsi="宋体"/>
                <w:color w:val="auto"/>
                <w:szCs w:val="21"/>
                <w:highlight w:val="none"/>
              </w:rPr>
              <w:t>方案二：所有通过第一个信封评审及第二个信封初步评审竞包人的评标价去掉一个最高值和一个最低值后的算术平均值即为评标价平均值（如果参与评标价平均值计算的有效竞包人少于5家时，则计算评标价平均值时不去掉最高值和最低值）；</w:t>
            </w:r>
          </w:p>
          <w:p w14:paraId="6B6F0FB8">
            <w:pPr>
              <w:pStyle w:val="14"/>
              <w:ind w:left="0" w:firstLine="0"/>
              <w:rPr>
                <w:rFonts w:ascii="宋体" w:hAnsi="宋体"/>
                <w:color w:val="auto"/>
                <w:szCs w:val="21"/>
                <w:highlight w:val="none"/>
              </w:rPr>
            </w:pPr>
            <w:r>
              <w:rPr>
                <w:rFonts w:hint="eastAsia" w:ascii="宋体" w:hAnsi="宋体"/>
                <w:color w:val="auto"/>
                <w:szCs w:val="21"/>
                <w:highlight w:val="none"/>
              </w:rPr>
              <w:t>（3）评标基准价的确定：</w:t>
            </w:r>
          </w:p>
          <w:p w14:paraId="7706491C">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52"/>
            </w:r>
            <w:r>
              <w:rPr>
                <w:rFonts w:hint="eastAsia" w:ascii="宋体" w:hAnsi="宋体"/>
                <w:color w:val="auto"/>
                <w:szCs w:val="21"/>
                <w:highlight w:val="none"/>
              </w:rPr>
              <w:t>方法一：将评标价平均值直接作为评标基准价。</w:t>
            </w:r>
          </w:p>
          <w:p w14:paraId="340A3019">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A3"/>
            </w:r>
            <w:r>
              <w:rPr>
                <w:rFonts w:hint="eastAsia" w:ascii="宋体" w:hAnsi="宋体"/>
                <w:color w:val="auto"/>
                <w:szCs w:val="21"/>
                <w:highlight w:val="none"/>
              </w:rPr>
              <w:t xml:space="preserve">方法二：将评标价平均值下浮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%，作为评标基准价。</w:t>
            </w:r>
          </w:p>
          <w:p w14:paraId="4ADC6CD3">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A3"/>
            </w:r>
            <w:r>
              <w:rPr>
                <w:rFonts w:hint="eastAsia" w:ascii="宋体" w:hAnsi="宋体"/>
                <w:color w:val="auto"/>
                <w:szCs w:val="21"/>
                <w:highlight w:val="none"/>
              </w:rPr>
              <w:t>方法三：发包人设置评标基准价系数，由发包人代表现场抽取， 评标价平均值乘以现场抽取的评标基准价系数作为评标基准价。</w:t>
            </w:r>
          </w:p>
          <w:p w14:paraId="2D8C31A1">
            <w:pPr>
              <w:pStyle w:val="14"/>
              <w:ind w:left="0" w:firstLine="0"/>
              <w:rPr>
                <w:rFonts w:ascii="宋体" w:hAnsi="宋体"/>
                <w:color w:val="auto"/>
                <w:szCs w:val="21"/>
                <w:highlight w:val="none"/>
              </w:rPr>
            </w:pPr>
            <w:r>
              <w:rPr>
                <w:rFonts w:hint="eastAsia" w:ascii="宋体" w:hAnsi="宋体"/>
                <w:color w:val="auto"/>
                <w:szCs w:val="21"/>
                <w:highlight w:val="none"/>
              </w:rPr>
              <w:sym w:font="Wingdings 2" w:char="00A3"/>
            </w:r>
            <w:r>
              <w:rPr>
                <w:rFonts w:hint="eastAsia" w:ascii="宋体" w:hAnsi="宋体"/>
                <w:color w:val="auto"/>
                <w:szCs w:val="21"/>
                <w:highlight w:val="none"/>
              </w:rPr>
              <w:t xml:space="preserve">方法四：        </w:t>
            </w:r>
          </w:p>
        </w:tc>
      </w:tr>
      <w:tr w14:paraId="377FAE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69" w:hRule="atLeast"/>
        </w:trPr>
        <w:tc>
          <w:tcPr>
            <w:tcW w:w="1134" w:type="dxa"/>
            <w:vAlign w:val="center"/>
          </w:tcPr>
          <w:p w14:paraId="24408FCA">
            <w:pPr>
              <w:pStyle w:val="14"/>
              <w:ind w:left="0" w:firstLine="0"/>
              <w:rPr>
                <w:rFonts w:ascii="宋体" w:hAnsi="宋体"/>
                <w:color w:val="auto"/>
                <w:szCs w:val="21"/>
                <w:highlight w:val="none"/>
              </w:rPr>
            </w:pPr>
            <w:r>
              <w:rPr>
                <w:rFonts w:hint="eastAsia" w:ascii="宋体" w:hAnsi="宋体"/>
                <w:color w:val="auto"/>
                <w:szCs w:val="21"/>
                <w:highlight w:val="none"/>
              </w:rPr>
              <w:t>2.2.3</w:t>
            </w:r>
          </w:p>
        </w:tc>
        <w:tc>
          <w:tcPr>
            <w:tcW w:w="1560" w:type="dxa"/>
            <w:vAlign w:val="center"/>
          </w:tcPr>
          <w:p w14:paraId="40F64068">
            <w:pPr>
              <w:pStyle w:val="14"/>
              <w:ind w:left="0" w:firstLine="0"/>
              <w:rPr>
                <w:rFonts w:ascii="宋体" w:hAnsi="宋体"/>
                <w:color w:val="auto"/>
                <w:szCs w:val="21"/>
                <w:highlight w:val="none"/>
              </w:rPr>
            </w:pPr>
            <w:r>
              <w:rPr>
                <w:rFonts w:hint="eastAsia" w:ascii="宋体" w:hAnsi="宋体"/>
                <w:color w:val="auto"/>
                <w:szCs w:val="21"/>
                <w:highlight w:val="none"/>
              </w:rPr>
              <w:t>评标价的偏差率计算公式</w:t>
            </w:r>
          </w:p>
        </w:tc>
        <w:tc>
          <w:tcPr>
            <w:tcW w:w="6804" w:type="dxa"/>
            <w:vAlign w:val="center"/>
          </w:tcPr>
          <w:p w14:paraId="327D78CC">
            <w:pPr>
              <w:pStyle w:val="14"/>
              <w:ind w:left="0" w:firstLine="0"/>
              <w:rPr>
                <w:rFonts w:ascii="宋体" w:hAnsi="宋体"/>
                <w:color w:val="auto"/>
                <w:szCs w:val="21"/>
                <w:highlight w:val="none"/>
              </w:rPr>
            </w:pPr>
            <w:r>
              <w:rPr>
                <w:rFonts w:hint="eastAsia" w:ascii="宋体" w:hAnsi="宋体"/>
                <w:color w:val="auto"/>
                <w:szCs w:val="21"/>
                <w:highlight w:val="none"/>
              </w:rPr>
              <w:t>偏差率＝100%×（竞包人评标价－评标基准价）／评标基准价</w:t>
            </w:r>
          </w:p>
          <w:p w14:paraId="2010C0CE">
            <w:pPr>
              <w:pStyle w:val="14"/>
              <w:ind w:left="0" w:firstLine="0"/>
              <w:rPr>
                <w:rFonts w:ascii="宋体" w:hAnsi="宋体"/>
                <w:color w:val="auto"/>
                <w:szCs w:val="21"/>
                <w:highlight w:val="none"/>
              </w:rPr>
            </w:pPr>
            <w:r>
              <w:rPr>
                <w:rFonts w:hint="eastAsia" w:ascii="宋体" w:hAnsi="宋体"/>
                <w:color w:val="auto"/>
                <w:szCs w:val="21"/>
                <w:highlight w:val="none"/>
              </w:rPr>
              <w:t>偏差率保留2位小数。</w:t>
            </w:r>
          </w:p>
        </w:tc>
      </w:tr>
    </w:tbl>
    <w:p w14:paraId="54409649">
      <w:pPr>
        <w:pStyle w:val="14"/>
        <w:spacing w:line="460" w:lineRule="exact"/>
        <w:jc w:val="right"/>
        <w:rPr>
          <w:rFonts w:ascii="宋体" w:hAnsi="宋体"/>
          <w:color w:val="auto"/>
          <w:szCs w:val="21"/>
          <w:highlight w:val="none"/>
        </w:rPr>
      </w:pPr>
      <w:r>
        <w:rPr>
          <w:rFonts w:hint="eastAsia" w:ascii="宋体" w:hAnsi="宋体"/>
          <w:color w:val="auto"/>
          <w:szCs w:val="21"/>
          <w:highlight w:val="none"/>
        </w:rPr>
        <w:br w:type="page"/>
      </w:r>
      <w:r>
        <w:rPr>
          <w:rFonts w:hint="eastAsia" w:ascii="宋体" w:hAnsi="宋体"/>
          <w:color w:val="auto"/>
          <w:szCs w:val="21"/>
          <w:highlight w:val="none"/>
        </w:rPr>
        <w:t>续上表</w:t>
      </w:r>
    </w:p>
    <w:tbl>
      <w:tblPr>
        <w:tblStyle w:val="34"/>
        <w:tblW w:w="0" w:type="auto"/>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9"/>
        <w:gridCol w:w="1275"/>
        <w:gridCol w:w="1230"/>
        <w:gridCol w:w="1603"/>
        <w:gridCol w:w="885"/>
        <w:gridCol w:w="3336"/>
      </w:tblGrid>
      <w:tr w14:paraId="3E03D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7" w:hRule="atLeast"/>
        </w:trPr>
        <w:tc>
          <w:tcPr>
            <w:tcW w:w="6162" w:type="dxa"/>
            <w:gridSpan w:val="5"/>
            <w:vAlign w:val="center"/>
          </w:tcPr>
          <w:p w14:paraId="05DDCCA6">
            <w:pPr>
              <w:pStyle w:val="14"/>
              <w:ind w:left="0" w:firstLine="0"/>
              <w:rPr>
                <w:rFonts w:ascii="宋体" w:hAnsi="宋体"/>
                <w:color w:val="auto"/>
                <w:szCs w:val="21"/>
                <w:highlight w:val="none"/>
              </w:rPr>
            </w:pPr>
            <w:r>
              <w:rPr>
                <w:rFonts w:hint="eastAsia" w:ascii="宋体" w:hAnsi="宋体"/>
                <w:color w:val="auto"/>
                <w:szCs w:val="21"/>
                <w:highlight w:val="none"/>
              </w:rPr>
              <w:t>评分因素与权重分值</w:t>
            </w:r>
          </w:p>
        </w:tc>
        <w:tc>
          <w:tcPr>
            <w:tcW w:w="3336" w:type="dxa"/>
            <w:vMerge w:val="restart"/>
            <w:vAlign w:val="center"/>
          </w:tcPr>
          <w:p w14:paraId="3C3A2526">
            <w:pPr>
              <w:pStyle w:val="14"/>
              <w:ind w:left="0" w:firstLine="0"/>
              <w:rPr>
                <w:rFonts w:ascii="宋体" w:hAnsi="宋体"/>
                <w:color w:val="auto"/>
                <w:szCs w:val="21"/>
                <w:highlight w:val="none"/>
              </w:rPr>
            </w:pPr>
            <w:r>
              <w:rPr>
                <w:rFonts w:hint="eastAsia" w:ascii="宋体" w:hAnsi="宋体"/>
                <w:color w:val="auto"/>
                <w:szCs w:val="21"/>
                <w:highlight w:val="none"/>
              </w:rPr>
              <w:t>评分标准</w:t>
            </w:r>
          </w:p>
        </w:tc>
      </w:tr>
      <w:tr w14:paraId="78B125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3" w:hRule="atLeast"/>
        </w:trPr>
        <w:tc>
          <w:tcPr>
            <w:tcW w:w="1169" w:type="dxa"/>
            <w:vAlign w:val="center"/>
          </w:tcPr>
          <w:p w14:paraId="0459C9D3">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275" w:type="dxa"/>
            <w:vAlign w:val="center"/>
          </w:tcPr>
          <w:p w14:paraId="0BC6F10F">
            <w:pPr>
              <w:pStyle w:val="14"/>
              <w:ind w:left="0" w:firstLine="0"/>
              <w:rPr>
                <w:rFonts w:ascii="宋体" w:hAnsi="宋体"/>
                <w:color w:val="auto"/>
                <w:szCs w:val="21"/>
                <w:highlight w:val="none"/>
              </w:rPr>
            </w:pPr>
            <w:r>
              <w:rPr>
                <w:rFonts w:hint="eastAsia" w:ascii="宋体" w:hAnsi="宋体"/>
                <w:color w:val="auto"/>
                <w:szCs w:val="21"/>
                <w:highlight w:val="none"/>
              </w:rPr>
              <w:t>评分因素</w:t>
            </w:r>
          </w:p>
        </w:tc>
        <w:tc>
          <w:tcPr>
            <w:tcW w:w="1230" w:type="dxa"/>
            <w:tcMar>
              <w:left w:w="28" w:type="dxa"/>
              <w:right w:w="28" w:type="dxa"/>
            </w:tcMar>
            <w:vAlign w:val="center"/>
          </w:tcPr>
          <w:p w14:paraId="44D1DBFE">
            <w:pPr>
              <w:pStyle w:val="14"/>
              <w:spacing w:before="0"/>
              <w:ind w:left="0" w:firstLine="0"/>
              <w:rPr>
                <w:rFonts w:ascii="宋体" w:hAnsi="宋体"/>
                <w:color w:val="auto"/>
                <w:szCs w:val="21"/>
                <w:highlight w:val="none"/>
              </w:rPr>
            </w:pPr>
            <w:r>
              <w:rPr>
                <w:rFonts w:hint="eastAsia" w:ascii="宋体" w:hAnsi="宋体"/>
                <w:color w:val="auto"/>
                <w:szCs w:val="21"/>
                <w:highlight w:val="none"/>
              </w:rPr>
              <w:t>评分因素</w:t>
            </w:r>
          </w:p>
          <w:p w14:paraId="33E79EA8">
            <w:pPr>
              <w:pStyle w:val="14"/>
              <w:spacing w:before="0"/>
              <w:ind w:left="0" w:firstLine="0"/>
              <w:rPr>
                <w:rFonts w:ascii="宋体" w:hAnsi="宋体"/>
                <w:color w:val="auto"/>
                <w:szCs w:val="21"/>
                <w:highlight w:val="none"/>
              </w:rPr>
            </w:pPr>
            <w:r>
              <w:rPr>
                <w:rFonts w:hint="eastAsia" w:ascii="宋体" w:hAnsi="宋体"/>
                <w:color w:val="auto"/>
                <w:szCs w:val="21"/>
                <w:highlight w:val="none"/>
              </w:rPr>
              <w:t>权重分值</w:t>
            </w:r>
          </w:p>
        </w:tc>
        <w:tc>
          <w:tcPr>
            <w:tcW w:w="1603" w:type="dxa"/>
            <w:vAlign w:val="center"/>
          </w:tcPr>
          <w:p w14:paraId="195EF701">
            <w:pPr>
              <w:pStyle w:val="14"/>
              <w:spacing w:before="0"/>
              <w:ind w:left="0" w:firstLine="0"/>
              <w:rPr>
                <w:rFonts w:ascii="宋体" w:hAnsi="宋体"/>
                <w:color w:val="auto"/>
                <w:szCs w:val="21"/>
                <w:highlight w:val="none"/>
              </w:rPr>
            </w:pPr>
            <w:r>
              <w:rPr>
                <w:rFonts w:hint="eastAsia" w:ascii="宋体" w:hAnsi="宋体"/>
                <w:color w:val="auto"/>
                <w:szCs w:val="21"/>
                <w:highlight w:val="none"/>
              </w:rPr>
              <w:t>各评分因素细分项</w:t>
            </w:r>
          </w:p>
        </w:tc>
        <w:tc>
          <w:tcPr>
            <w:tcW w:w="885" w:type="dxa"/>
            <w:vAlign w:val="center"/>
          </w:tcPr>
          <w:p w14:paraId="13D9B5F9">
            <w:pPr>
              <w:pStyle w:val="14"/>
              <w:ind w:left="0" w:firstLine="0"/>
              <w:rPr>
                <w:rFonts w:ascii="宋体" w:hAnsi="宋体"/>
                <w:color w:val="auto"/>
                <w:szCs w:val="21"/>
                <w:highlight w:val="none"/>
              </w:rPr>
            </w:pPr>
            <w:r>
              <w:rPr>
                <w:rFonts w:hint="eastAsia" w:ascii="宋体" w:hAnsi="宋体"/>
                <w:color w:val="auto"/>
                <w:szCs w:val="21"/>
                <w:highlight w:val="none"/>
              </w:rPr>
              <w:t>分值</w:t>
            </w:r>
          </w:p>
        </w:tc>
        <w:tc>
          <w:tcPr>
            <w:tcW w:w="3336" w:type="dxa"/>
            <w:vMerge w:val="continue"/>
            <w:vAlign w:val="center"/>
          </w:tcPr>
          <w:p w14:paraId="096D4807">
            <w:pPr>
              <w:pStyle w:val="14"/>
              <w:ind w:left="0" w:firstLine="0"/>
              <w:rPr>
                <w:rFonts w:ascii="宋体" w:hAnsi="宋体"/>
                <w:color w:val="auto"/>
                <w:szCs w:val="21"/>
                <w:highlight w:val="none"/>
              </w:rPr>
            </w:pPr>
          </w:p>
        </w:tc>
      </w:tr>
      <w:tr w14:paraId="68AA4C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80" w:hRule="atLeast"/>
        </w:trPr>
        <w:tc>
          <w:tcPr>
            <w:tcW w:w="1169" w:type="dxa"/>
            <w:vMerge w:val="restart"/>
            <w:vAlign w:val="center"/>
          </w:tcPr>
          <w:p w14:paraId="16A3BD84">
            <w:pPr>
              <w:pStyle w:val="14"/>
              <w:ind w:left="0" w:firstLine="0"/>
              <w:rPr>
                <w:rFonts w:ascii="宋体" w:hAnsi="宋体"/>
                <w:color w:val="auto"/>
                <w:szCs w:val="21"/>
                <w:highlight w:val="none"/>
              </w:rPr>
            </w:pPr>
            <w:r>
              <w:rPr>
                <w:rFonts w:hint="eastAsia" w:ascii="宋体" w:hAnsi="宋体"/>
                <w:color w:val="auto"/>
                <w:szCs w:val="21"/>
                <w:highlight w:val="none"/>
              </w:rPr>
              <w:t>2.2.4（1）</w:t>
            </w:r>
          </w:p>
        </w:tc>
        <w:tc>
          <w:tcPr>
            <w:tcW w:w="1275" w:type="dxa"/>
            <w:vMerge w:val="restart"/>
            <w:vAlign w:val="center"/>
          </w:tcPr>
          <w:p w14:paraId="5BE18A3E">
            <w:pPr>
              <w:pStyle w:val="14"/>
              <w:ind w:left="0" w:firstLine="0"/>
              <w:rPr>
                <w:rFonts w:ascii="宋体" w:hAnsi="宋体"/>
                <w:color w:val="auto"/>
                <w:szCs w:val="21"/>
                <w:highlight w:val="none"/>
              </w:rPr>
            </w:pPr>
            <w:r>
              <w:rPr>
                <w:rFonts w:hint="eastAsia" w:ascii="宋体" w:hAnsi="宋体"/>
                <w:color w:val="auto"/>
                <w:szCs w:val="21"/>
                <w:highlight w:val="none"/>
              </w:rPr>
              <w:t>技术建议书</w:t>
            </w:r>
          </w:p>
        </w:tc>
        <w:tc>
          <w:tcPr>
            <w:tcW w:w="1230" w:type="dxa"/>
            <w:vMerge w:val="restart"/>
            <w:vAlign w:val="center"/>
          </w:tcPr>
          <w:p w14:paraId="0459B60A">
            <w:pPr>
              <w:pStyle w:val="14"/>
              <w:ind w:left="0" w:firstLine="0"/>
              <w:rPr>
                <w:rFonts w:ascii="宋体" w:hAnsi="宋体"/>
                <w:color w:val="auto"/>
                <w:szCs w:val="21"/>
                <w:highlight w:val="none"/>
              </w:rPr>
            </w:pPr>
            <w:r>
              <w:rPr>
                <w:rFonts w:hint="eastAsia" w:ascii="宋体" w:hAnsi="宋体"/>
                <w:color w:val="auto"/>
                <w:szCs w:val="21"/>
                <w:highlight w:val="none"/>
              </w:rPr>
              <w:t>45分</w:t>
            </w:r>
          </w:p>
        </w:tc>
        <w:tc>
          <w:tcPr>
            <w:tcW w:w="1603" w:type="dxa"/>
            <w:vAlign w:val="center"/>
          </w:tcPr>
          <w:p w14:paraId="281AAFD3">
            <w:pPr>
              <w:pStyle w:val="14"/>
              <w:ind w:left="0" w:firstLine="0"/>
              <w:rPr>
                <w:rFonts w:ascii="宋体" w:hAnsi="宋体"/>
                <w:color w:val="auto"/>
                <w:szCs w:val="21"/>
                <w:highlight w:val="none"/>
              </w:rPr>
            </w:pPr>
            <w:r>
              <w:rPr>
                <w:rFonts w:hint="eastAsia" w:ascii="宋体" w:hAnsi="宋体"/>
                <w:color w:val="auto"/>
                <w:szCs w:val="21"/>
                <w:highlight w:val="none"/>
              </w:rPr>
              <w:t>对发包项目的理解、现状分析和总体设计思路</w:t>
            </w:r>
          </w:p>
        </w:tc>
        <w:tc>
          <w:tcPr>
            <w:tcW w:w="885" w:type="dxa"/>
            <w:vAlign w:val="center"/>
          </w:tcPr>
          <w:p w14:paraId="2261DCBA">
            <w:pPr>
              <w:pStyle w:val="14"/>
              <w:ind w:left="0" w:firstLine="0"/>
              <w:rPr>
                <w:rFonts w:ascii="宋体" w:hAnsi="宋体"/>
                <w:color w:val="auto"/>
                <w:szCs w:val="21"/>
                <w:highlight w:val="none"/>
              </w:rPr>
            </w:pPr>
            <w:r>
              <w:rPr>
                <w:rFonts w:hint="eastAsia" w:ascii="宋体" w:hAnsi="宋体"/>
                <w:color w:val="auto"/>
                <w:szCs w:val="21"/>
                <w:highlight w:val="none"/>
              </w:rPr>
              <w:t>7.2～9分</w:t>
            </w:r>
          </w:p>
        </w:tc>
        <w:tc>
          <w:tcPr>
            <w:tcW w:w="3336" w:type="dxa"/>
            <w:vAlign w:val="center"/>
          </w:tcPr>
          <w:p w14:paraId="5D9ECB29">
            <w:pPr>
              <w:pStyle w:val="14"/>
              <w:ind w:left="0" w:firstLine="0"/>
              <w:rPr>
                <w:rFonts w:ascii="宋体" w:hAnsi="宋体"/>
                <w:color w:val="auto"/>
                <w:szCs w:val="21"/>
                <w:highlight w:val="none"/>
              </w:rPr>
            </w:pPr>
            <w:r>
              <w:rPr>
                <w:rFonts w:hint="eastAsia" w:ascii="宋体" w:hAnsi="宋体"/>
                <w:color w:val="auto"/>
                <w:szCs w:val="21"/>
                <w:highlight w:val="none"/>
              </w:rPr>
              <w:t>对本项目设计理解的深刻程度、现状调研分析的详细程度、总体设计思路的清晰程度，酌情打分，一般的得7.2～7.8分、较好的得7.9～8.5分、好的得8.6～9.0分。</w:t>
            </w:r>
          </w:p>
        </w:tc>
      </w:tr>
      <w:tr w14:paraId="3CB3D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70" w:hRule="atLeast"/>
        </w:trPr>
        <w:tc>
          <w:tcPr>
            <w:tcW w:w="1169" w:type="dxa"/>
            <w:vMerge w:val="continue"/>
            <w:vAlign w:val="center"/>
          </w:tcPr>
          <w:p w14:paraId="01316EE4">
            <w:pPr>
              <w:pStyle w:val="14"/>
              <w:ind w:left="0" w:firstLine="0"/>
              <w:rPr>
                <w:rFonts w:ascii="宋体" w:hAnsi="宋体"/>
                <w:color w:val="auto"/>
                <w:szCs w:val="21"/>
                <w:highlight w:val="none"/>
              </w:rPr>
            </w:pPr>
          </w:p>
        </w:tc>
        <w:tc>
          <w:tcPr>
            <w:tcW w:w="1275" w:type="dxa"/>
            <w:vMerge w:val="continue"/>
            <w:vAlign w:val="center"/>
          </w:tcPr>
          <w:p w14:paraId="0C3B0890">
            <w:pPr>
              <w:pStyle w:val="14"/>
              <w:ind w:left="0" w:firstLine="0"/>
              <w:rPr>
                <w:rFonts w:ascii="宋体" w:hAnsi="宋体"/>
                <w:color w:val="auto"/>
                <w:szCs w:val="21"/>
                <w:highlight w:val="none"/>
              </w:rPr>
            </w:pPr>
          </w:p>
        </w:tc>
        <w:tc>
          <w:tcPr>
            <w:tcW w:w="1230" w:type="dxa"/>
            <w:vMerge w:val="continue"/>
            <w:vAlign w:val="center"/>
          </w:tcPr>
          <w:p w14:paraId="1A09372D">
            <w:pPr>
              <w:pStyle w:val="14"/>
              <w:ind w:left="0" w:firstLine="0"/>
              <w:rPr>
                <w:rFonts w:ascii="宋体" w:hAnsi="宋体"/>
                <w:color w:val="auto"/>
                <w:szCs w:val="21"/>
                <w:highlight w:val="none"/>
              </w:rPr>
            </w:pPr>
          </w:p>
        </w:tc>
        <w:tc>
          <w:tcPr>
            <w:tcW w:w="1603" w:type="dxa"/>
            <w:vAlign w:val="center"/>
          </w:tcPr>
          <w:p w14:paraId="47AF3291">
            <w:pPr>
              <w:pStyle w:val="14"/>
              <w:ind w:left="0" w:firstLine="0"/>
              <w:rPr>
                <w:rFonts w:ascii="宋体" w:hAnsi="宋体"/>
                <w:color w:val="auto"/>
                <w:szCs w:val="21"/>
                <w:highlight w:val="none"/>
              </w:rPr>
            </w:pPr>
            <w:r>
              <w:rPr>
                <w:rFonts w:hint="eastAsia" w:ascii="宋体" w:hAnsi="宋体"/>
                <w:color w:val="auto"/>
                <w:szCs w:val="21"/>
                <w:highlight w:val="none"/>
              </w:rPr>
              <w:t>发包项目设计的特点、关键技术问题的认识及其对策措施</w:t>
            </w:r>
          </w:p>
        </w:tc>
        <w:tc>
          <w:tcPr>
            <w:tcW w:w="885" w:type="dxa"/>
            <w:vAlign w:val="center"/>
          </w:tcPr>
          <w:p w14:paraId="04C0AEB5">
            <w:pPr>
              <w:pStyle w:val="14"/>
              <w:ind w:left="0" w:firstLine="0"/>
              <w:rPr>
                <w:rFonts w:ascii="宋体" w:hAnsi="宋体"/>
                <w:color w:val="auto"/>
                <w:szCs w:val="21"/>
                <w:highlight w:val="none"/>
              </w:rPr>
            </w:pPr>
            <w:r>
              <w:rPr>
                <w:rFonts w:hint="eastAsia" w:ascii="宋体" w:hAnsi="宋体"/>
                <w:color w:val="auto"/>
                <w:szCs w:val="21"/>
                <w:highlight w:val="none"/>
              </w:rPr>
              <w:t>7.2～9分</w:t>
            </w:r>
          </w:p>
        </w:tc>
        <w:tc>
          <w:tcPr>
            <w:tcW w:w="3336" w:type="dxa"/>
            <w:vAlign w:val="center"/>
          </w:tcPr>
          <w:p w14:paraId="1F0FACE2">
            <w:pPr>
              <w:pStyle w:val="14"/>
              <w:ind w:left="0" w:firstLine="0"/>
              <w:rPr>
                <w:rFonts w:ascii="宋体" w:hAnsi="宋体"/>
                <w:color w:val="auto"/>
                <w:szCs w:val="21"/>
                <w:highlight w:val="none"/>
              </w:rPr>
            </w:pPr>
            <w:r>
              <w:rPr>
                <w:rFonts w:hint="eastAsia" w:ascii="宋体" w:hAnsi="宋体"/>
                <w:color w:val="auto"/>
                <w:szCs w:val="21"/>
                <w:highlight w:val="none"/>
              </w:rPr>
              <w:t>对发包项目设计的特点、关键技术问题的认识及其对策措施的把握准确性，所提出的措施有效可行性，酌情打分，一般的得7.2～7.8分、较好的得7.9～8.5分、好的得8.6～9.0分。</w:t>
            </w:r>
          </w:p>
        </w:tc>
      </w:tr>
      <w:tr w14:paraId="3C5EF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75" w:hRule="atLeast"/>
        </w:trPr>
        <w:tc>
          <w:tcPr>
            <w:tcW w:w="1169" w:type="dxa"/>
            <w:vMerge w:val="continue"/>
            <w:vAlign w:val="center"/>
          </w:tcPr>
          <w:p w14:paraId="1E8D29F0">
            <w:pPr>
              <w:pStyle w:val="14"/>
              <w:spacing w:line="360" w:lineRule="exact"/>
              <w:jc w:val="center"/>
              <w:rPr>
                <w:rFonts w:ascii="宋体" w:hAnsi="宋体"/>
                <w:color w:val="auto"/>
                <w:highlight w:val="none"/>
              </w:rPr>
            </w:pPr>
          </w:p>
        </w:tc>
        <w:tc>
          <w:tcPr>
            <w:tcW w:w="1275" w:type="dxa"/>
            <w:vMerge w:val="continue"/>
            <w:vAlign w:val="center"/>
          </w:tcPr>
          <w:p w14:paraId="3B89C47E">
            <w:pPr>
              <w:pStyle w:val="14"/>
              <w:spacing w:line="360" w:lineRule="exact"/>
              <w:jc w:val="center"/>
              <w:rPr>
                <w:rFonts w:ascii="宋体" w:hAnsi="宋体"/>
                <w:color w:val="auto"/>
                <w:szCs w:val="21"/>
                <w:highlight w:val="none"/>
              </w:rPr>
            </w:pPr>
          </w:p>
        </w:tc>
        <w:tc>
          <w:tcPr>
            <w:tcW w:w="1230" w:type="dxa"/>
            <w:vMerge w:val="continue"/>
            <w:vAlign w:val="center"/>
          </w:tcPr>
          <w:p w14:paraId="64F7ADA9">
            <w:pPr>
              <w:pStyle w:val="14"/>
              <w:spacing w:line="360" w:lineRule="exact"/>
              <w:jc w:val="center"/>
              <w:rPr>
                <w:rFonts w:ascii="宋体" w:hAnsi="宋体"/>
                <w:color w:val="auto"/>
                <w:szCs w:val="21"/>
                <w:highlight w:val="none"/>
              </w:rPr>
            </w:pPr>
          </w:p>
        </w:tc>
        <w:tc>
          <w:tcPr>
            <w:tcW w:w="1603" w:type="dxa"/>
            <w:vAlign w:val="center"/>
          </w:tcPr>
          <w:p w14:paraId="59B96F57">
            <w:pPr>
              <w:pStyle w:val="14"/>
              <w:ind w:left="0" w:firstLine="0"/>
              <w:rPr>
                <w:rFonts w:ascii="宋体" w:hAnsi="宋体"/>
                <w:color w:val="auto"/>
                <w:szCs w:val="21"/>
                <w:highlight w:val="none"/>
              </w:rPr>
            </w:pPr>
            <w:r>
              <w:rPr>
                <w:rFonts w:hint="eastAsia" w:ascii="宋体" w:hAnsi="宋体"/>
                <w:color w:val="auto"/>
                <w:szCs w:val="21"/>
                <w:highlight w:val="none"/>
              </w:rPr>
              <w:t>设计方案效果表现及图纸深化</w:t>
            </w:r>
          </w:p>
        </w:tc>
        <w:tc>
          <w:tcPr>
            <w:tcW w:w="885" w:type="dxa"/>
            <w:vAlign w:val="center"/>
          </w:tcPr>
          <w:p w14:paraId="3BAA31FE">
            <w:pPr>
              <w:pStyle w:val="14"/>
              <w:ind w:left="0" w:firstLine="0"/>
              <w:rPr>
                <w:rFonts w:ascii="宋体" w:hAnsi="宋体"/>
                <w:color w:val="auto"/>
                <w:szCs w:val="21"/>
                <w:highlight w:val="none"/>
              </w:rPr>
            </w:pPr>
            <w:r>
              <w:rPr>
                <w:rFonts w:hint="eastAsia" w:ascii="宋体" w:hAnsi="宋体"/>
                <w:color w:val="auto"/>
                <w:szCs w:val="21"/>
                <w:highlight w:val="none"/>
              </w:rPr>
              <w:t>7.2～9分</w:t>
            </w:r>
          </w:p>
        </w:tc>
        <w:tc>
          <w:tcPr>
            <w:tcW w:w="3336" w:type="dxa"/>
            <w:vAlign w:val="center"/>
          </w:tcPr>
          <w:p w14:paraId="079DDEB0">
            <w:pPr>
              <w:pStyle w:val="14"/>
              <w:ind w:left="0" w:firstLine="0"/>
              <w:rPr>
                <w:rFonts w:ascii="宋体" w:hAnsi="宋体"/>
                <w:color w:val="auto"/>
                <w:szCs w:val="21"/>
                <w:highlight w:val="none"/>
              </w:rPr>
            </w:pPr>
            <w:r>
              <w:rPr>
                <w:rFonts w:hint="eastAsia" w:ascii="宋体" w:hAnsi="宋体"/>
                <w:color w:val="auto"/>
                <w:szCs w:val="21"/>
                <w:highlight w:val="none"/>
              </w:rPr>
              <w:t>对设计方案的效果表现、符合设计方案的施工图图纸的细化程度，酌情打分，一般的得7.2～7.8分、较好的得7.9～8.5分、好的得8.6～9.0分。</w:t>
            </w:r>
          </w:p>
        </w:tc>
      </w:tr>
      <w:tr w14:paraId="59B496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5" w:hRule="atLeast"/>
        </w:trPr>
        <w:tc>
          <w:tcPr>
            <w:tcW w:w="1169" w:type="dxa"/>
            <w:vMerge w:val="continue"/>
            <w:vAlign w:val="center"/>
          </w:tcPr>
          <w:p w14:paraId="2DD88F11">
            <w:pPr>
              <w:pStyle w:val="14"/>
              <w:spacing w:line="360" w:lineRule="exact"/>
              <w:jc w:val="center"/>
              <w:rPr>
                <w:rFonts w:ascii="宋体" w:hAnsi="宋体"/>
                <w:color w:val="auto"/>
                <w:highlight w:val="none"/>
              </w:rPr>
            </w:pPr>
          </w:p>
        </w:tc>
        <w:tc>
          <w:tcPr>
            <w:tcW w:w="1275" w:type="dxa"/>
            <w:vMerge w:val="continue"/>
            <w:vAlign w:val="center"/>
          </w:tcPr>
          <w:p w14:paraId="4502AF0C">
            <w:pPr>
              <w:pStyle w:val="14"/>
              <w:spacing w:line="360" w:lineRule="exact"/>
              <w:jc w:val="center"/>
              <w:rPr>
                <w:rFonts w:ascii="宋体" w:hAnsi="宋体"/>
                <w:color w:val="auto"/>
                <w:szCs w:val="21"/>
                <w:highlight w:val="none"/>
              </w:rPr>
            </w:pPr>
          </w:p>
        </w:tc>
        <w:tc>
          <w:tcPr>
            <w:tcW w:w="1230" w:type="dxa"/>
            <w:vMerge w:val="continue"/>
            <w:vAlign w:val="center"/>
          </w:tcPr>
          <w:p w14:paraId="1894A7E3">
            <w:pPr>
              <w:pStyle w:val="14"/>
              <w:spacing w:line="360" w:lineRule="exact"/>
              <w:jc w:val="center"/>
              <w:rPr>
                <w:rFonts w:ascii="宋体" w:hAnsi="宋体"/>
                <w:color w:val="auto"/>
                <w:szCs w:val="21"/>
                <w:highlight w:val="none"/>
              </w:rPr>
            </w:pPr>
          </w:p>
        </w:tc>
        <w:tc>
          <w:tcPr>
            <w:tcW w:w="1603" w:type="dxa"/>
            <w:vAlign w:val="center"/>
          </w:tcPr>
          <w:p w14:paraId="3B28554C">
            <w:pPr>
              <w:pStyle w:val="14"/>
              <w:ind w:left="0" w:firstLine="0"/>
              <w:rPr>
                <w:rFonts w:ascii="宋体" w:hAnsi="宋体"/>
                <w:color w:val="auto"/>
                <w:szCs w:val="21"/>
                <w:highlight w:val="none"/>
              </w:rPr>
            </w:pPr>
            <w:r>
              <w:rPr>
                <w:rFonts w:hint="eastAsia" w:ascii="宋体" w:hAnsi="宋体"/>
                <w:color w:val="auto"/>
                <w:szCs w:val="21"/>
                <w:highlight w:val="none"/>
              </w:rPr>
              <w:t>设计的质量保证措施、 进度保证措施、 安全保证措施</w:t>
            </w:r>
          </w:p>
        </w:tc>
        <w:tc>
          <w:tcPr>
            <w:tcW w:w="885" w:type="dxa"/>
            <w:vAlign w:val="center"/>
          </w:tcPr>
          <w:p w14:paraId="1D1479C4">
            <w:pPr>
              <w:pStyle w:val="14"/>
              <w:ind w:left="0" w:firstLine="0"/>
              <w:rPr>
                <w:rFonts w:ascii="宋体" w:hAnsi="宋体"/>
                <w:color w:val="auto"/>
                <w:szCs w:val="21"/>
                <w:highlight w:val="none"/>
              </w:rPr>
            </w:pPr>
            <w:r>
              <w:rPr>
                <w:rFonts w:hint="eastAsia" w:ascii="宋体" w:hAnsi="宋体"/>
                <w:color w:val="auto"/>
                <w:szCs w:val="21"/>
                <w:highlight w:val="none"/>
              </w:rPr>
              <w:t>7.2～9分</w:t>
            </w:r>
          </w:p>
        </w:tc>
        <w:tc>
          <w:tcPr>
            <w:tcW w:w="3336" w:type="dxa"/>
            <w:vAlign w:val="center"/>
          </w:tcPr>
          <w:p w14:paraId="61E33FC8">
            <w:pPr>
              <w:pStyle w:val="14"/>
              <w:ind w:left="0" w:firstLine="0"/>
              <w:rPr>
                <w:rFonts w:ascii="宋体" w:hAnsi="宋体"/>
                <w:color w:val="auto"/>
                <w:szCs w:val="21"/>
                <w:highlight w:val="none"/>
              </w:rPr>
            </w:pPr>
            <w:r>
              <w:rPr>
                <w:rFonts w:hint="eastAsia" w:ascii="宋体" w:hAnsi="宋体"/>
                <w:color w:val="auto"/>
                <w:szCs w:val="21"/>
                <w:highlight w:val="none"/>
              </w:rPr>
              <w:t>设计的质量保证措施、进度保证措施切实可行性的，酌情打分，一般的得7.2～7.8分、较好的得7.9～8.5分、好的得8.6～9.0分。</w:t>
            </w:r>
          </w:p>
        </w:tc>
      </w:tr>
      <w:tr w14:paraId="2845AE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25" w:hRule="atLeast"/>
        </w:trPr>
        <w:tc>
          <w:tcPr>
            <w:tcW w:w="1169" w:type="dxa"/>
            <w:vMerge w:val="continue"/>
            <w:vAlign w:val="center"/>
          </w:tcPr>
          <w:p w14:paraId="4BDCABA2">
            <w:pPr>
              <w:pStyle w:val="14"/>
              <w:spacing w:line="360" w:lineRule="exact"/>
              <w:jc w:val="center"/>
              <w:rPr>
                <w:rFonts w:ascii="宋体" w:hAnsi="宋体"/>
                <w:color w:val="auto"/>
                <w:highlight w:val="none"/>
              </w:rPr>
            </w:pPr>
          </w:p>
        </w:tc>
        <w:tc>
          <w:tcPr>
            <w:tcW w:w="1275" w:type="dxa"/>
            <w:vMerge w:val="continue"/>
            <w:vAlign w:val="center"/>
          </w:tcPr>
          <w:p w14:paraId="5FB5D218">
            <w:pPr>
              <w:pStyle w:val="14"/>
              <w:spacing w:line="360" w:lineRule="exact"/>
              <w:jc w:val="center"/>
              <w:rPr>
                <w:rFonts w:ascii="宋体" w:hAnsi="宋体"/>
                <w:color w:val="auto"/>
                <w:szCs w:val="21"/>
                <w:highlight w:val="none"/>
              </w:rPr>
            </w:pPr>
          </w:p>
        </w:tc>
        <w:tc>
          <w:tcPr>
            <w:tcW w:w="1230" w:type="dxa"/>
            <w:vMerge w:val="continue"/>
            <w:vAlign w:val="center"/>
          </w:tcPr>
          <w:p w14:paraId="52871E7B">
            <w:pPr>
              <w:pStyle w:val="14"/>
              <w:spacing w:line="360" w:lineRule="exact"/>
              <w:jc w:val="center"/>
              <w:rPr>
                <w:rFonts w:ascii="宋体" w:hAnsi="宋体"/>
                <w:color w:val="auto"/>
                <w:szCs w:val="21"/>
                <w:highlight w:val="none"/>
              </w:rPr>
            </w:pPr>
          </w:p>
        </w:tc>
        <w:tc>
          <w:tcPr>
            <w:tcW w:w="1603" w:type="dxa"/>
            <w:vAlign w:val="center"/>
          </w:tcPr>
          <w:p w14:paraId="1285C5B7">
            <w:pPr>
              <w:pStyle w:val="14"/>
              <w:ind w:left="0" w:firstLine="0"/>
              <w:rPr>
                <w:rFonts w:ascii="宋体" w:hAnsi="宋体"/>
                <w:color w:val="auto"/>
                <w:szCs w:val="21"/>
                <w:highlight w:val="none"/>
              </w:rPr>
            </w:pPr>
            <w:r>
              <w:rPr>
                <w:rFonts w:hint="eastAsia" w:ascii="宋体" w:hAnsi="宋体"/>
                <w:color w:val="auto"/>
                <w:szCs w:val="21"/>
                <w:highlight w:val="none"/>
              </w:rPr>
              <w:t>设计工作量计划安排及后续服务的安排、保证措施</w:t>
            </w:r>
          </w:p>
        </w:tc>
        <w:tc>
          <w:tcPr>
            <w:tcW w:w="885" w:type="dxa"/>
            <w:vAlign w:val="center"/>
          </w:tcPr>
          <w:p w14:paraId="45DFB081">
            <w:pPr>
              <w:pStyle w:val="14"/>
              <w:ind w:left="0" w:firstLine="0"/>
              <w:rPr>
                <w:rFonts w:ascii="宋体" w:hAnsi="宋体"/>
                <w:color w:val="auto"/>
                <w:szCs w:val="21"/>
                <w:highlight w:val="none"/>
              </w:rPr>
            </w:pPr>
            <w:r>
              <w:rPr>
                <w:rFonts w:hint="eastAsia" w:ascii="宋体" w:hAnsi="宋体"/>
                <w:color w:val="auto"/>
                <w:szCs w:val="21"/>
                <w:highlight w:val="none"/>
              </w:rPr>
              <w:t>7.2～9分</w:t>
            </w:r>
          </w:p>
        </w:tc>
        <w:tc>
          <w:tcPr>
            <w:tcW w:w="3336" w:type="dxa"/>
            <w:vAlign w:val="center"/>
          </w:tcPr>
          <w:p w14:paraId="22C0A9BA">
            <w:pPr>
              <w:pStyle w:val="14"/>
              <w:ind w:left="0" w:firstLine="0"/>
              <w:rPr>
                <w:rFonts w:ascii="宋体" w:hAnsi="宋体"/>
                <w:color w:val="auto"/>
                <w:szCs w:val="21"/>
                <w:highlight w:val="none"/>
              </w:rPr>
            </w:pPr>
            <w:r>
              <w:rPr>
                <w:rFonts w:hint="eastAsia" w:ascii="宋体" w:hAnsi="宋体"/>
                <w:color w:val="auto"/>
                <w:szCs w:val="21"/>
                <w:highlight w:val="none"/>
              </w:rPr>
              <w:t>设计工作量、计划安排满足发包文件要求，内容充实性，表述清晰度，合理可行性；后续服务安排及措施，符合发包文件要求，具体服务安排及措施、承诺明确、切实可行性，酌情打分，一般的得7.2～7.8分、较好的得7.9～8.5分、好的得8.6～9.0分。</w:t>
            </w:r>
          </w:p>
        </w:tc>
      </w:tr>
    </w:tbl>
    <w:p w14:paraId="7E2816B6">
      <w:pPr>
        <w:pStyle w:val="14"/>
        <w:spacing w:line="460" w:lineRule="exact"/>
        <w:jc w:val="right"/>
        <w:rPr>
          <w:rFonts w:ascii="宋体" w:hAnsi="宋体"/>
          <w:color w:val="auto"/>
          <w:szCs w:val="21"/>
          <w:highlight w:val="none"/>
        </w:rPr>
      </w:pPr>
    </w:p>
    <w:tbl>
      <w:tblPr>
        <w:tblStyle w:val="34"/>
        <w:tblW w:w="9498"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9"/>
        <w:gridCol w:w="1275"/>
        <w:gridCol w:w="1230"/>
        <w:gridCol w:w="1668"/>
        <w:gridCol w:w="933"/>
        <w:gridCol w:w="3223"/>
      </w:tblGrid>
      <w:tr w14:paraId="40BD3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32" w:hRule="atLeast"/>
        </w:trPr>
        <w:tc>
          <w:tcPr>
            <w:tcW w:w="1169" w:type="dxa"/>
            <w:tcBorders>
              <w:top w:val="single" w:color="auto" w:sz="4" w:space="0"/>
            </w:tcBorders>
            <w:vAlign w:val="center"/>
          </w:tcPr>
          <w:p w14:paraId="62EE12B1">
            <w:pPr>
              <w:pStyle w:val="14"/>
              <w:ind w:left="0" w:firstLine="0"/>
              <w:rPr>
                <w:rFonts w:ascii="宋体" w:hAnsi="宋体"/>
                <w:color w:val="auto"/>
                <w:szCs w:val="21"/>
                <w:highlight w:val="none"/>
              </w:rPr>
            </w:pPr>
            <w:r>
              <w:rPr>
                <w:rFonts w:hint="eastAsia" w:ascii="宋体" w:hAnsi="宋体"/>
                <w:color w:val="auto"/>
                <w:szCs w:val="21"/>
                <w:highlight w:val="none"/>
              </w:rPr>
              <w:t>2.2.4（2）</w:t>
            </w:r>
          </w:p>
        </w:tc>
        <w:tc>
          <w:tcPr>
            <w:tcW w:w="1275" w:type="dxa"/>
            <w:tcBorders>
              <w:top w:val="single" w:color="auto" w:sz="4" w:space="0"/>
            </w:tcBorders>
            <w:vAlign w:val="center"/>
          </w:tcPr>
          <w:p w14:paraId="526C3C31">
            <w:pPr>
              <w:pStyle w:val="14"/>
              <w:ind w:left="0" w:firstLine="0"/>
              <w:rPr>
                <w:rFonts w:ascii="宋体" w:hAnsi="宋体"/>
                <w:color w:val="auto"/>
                <w:szCs w:val="21"/>
                <w:highlight w:val="none"/>
              </w:rPr>
            </w:pPr>
            <w:r>
              <w:rPr>
                <w:rFonts w:hint="eastAsia" w:ascii="宋体" w:hAnsi="宋体"/>
                <w:color w:val="auto"/>
                <w:szCs w:val="21"/>
                <w:highlight w:val="none"/>
              </w:rPr>
              <w:t>主要人员</w:t>
            </w:r>
          </w:p>
        </w:tc>
        <w:tc>
          <w:tcPr>
            <w:tcW w:w="1230" w:type="dxa"/>
            <w:tcBorders>
              <w:top w:val="single" w:color="auto" w:sz="4" w:space="0"/>
            </w:tcBorders>
            <w:vAlign w:val="center"/>
          </w:tcPr>
          <w:p w14:paraId="6384F6EE">
            <w:pPr>
              <w:pStyle w:val="14"/>
              <w:ind w:left="0" w:firstLine="0"/>
              <w:rPr>
                <w:rFonts w:ascii="宋体" w:hAnsi="宋体"/>
                <w:color w:val="auto"/>
                <w:szCs w:val="21"/>
                <w:highlight w:val="none"/>
              </w:rPr>
            </w:pPr>
            <w:r>
              <w:rPr>
                <w:rFonts w:hint="eastAsia" w:ascii="宋体" w:hAnsi="宋体"/>
                <w:color w:val="auto"/>
                <w:szCs w:val="21"/>
                <w:highlight w:val="none"/>
              </w:rPr>
              <w:t>25分</w:t>
            </w:r>
          </w:p>
        </w:tc>
        <w:tc>
          <w:tcPr>
            <w:tcW w:w="1668" w:type="dxa"/>
            <w:tcBorders>
              <w:top w:val="single" w:color="auto" w:sz="4" w:space="0"/>
              <w:right w:val="single" w:color="auto" w:sz="4" w:space="0"/>
            </w:tcBorders>
            <w:vAlign w:val="center"/>
          </w:tcPr>
          <w:p w14:paraId="1E13BCB6">
            <w:pPr>
              <w:pStyle w:val="14"/>
              <w:ind w:left="0" w:firstLine="0"/>
              <w:rPr>
                <w:rFonts w:ascii="宋体" w:hAnsi="宋体"/>
                <w:color w:val="auto"/>
                <w:szCs w:val="21"/>
                <w:highlight w:val="none"/>
              </w:rPr>
            </w:pPr>
            <w:r>
              <w:rPr>
                <w:rFonts w:hint="eastAsia" w:ascii="宋体" w:hAnsi="宋体"/>
                <w:color w:val="auto"/>
                <w:szCs w:val="21"/>
                <w:highlight w:val="none"/>
              </w:rPr>
              <w:t>项目负责人任职资格与业绩</w:t>
            </w:r>
          </w:p>
        </w:tc>
        <w:tc>
          <w:tcPr>
            <w:tcW w:w="933" w:type="dxa"/>
            <w:tcBorders>
              <w:top w:val="single" w:color="auto" w:sz="4" w:space="0"/>
              <w:left w:val="single" w:color="auto" w:sz="4" w:space="0"/>
              <w:right w:val="single" w:color="auto" w:sz="4" w:space="0"/>
            </w:tcBorders>
            <w:vAlign w:val="center"/>
          </w:tcPr>
          <w:p w14:paraId="4BB16982">
            <w:pPr>
              <w:pStyle w:val="14"/>
              <w:ind w:left="0" w:firstLine="0"/>
              <w:rPr>
                <w:rFonts w:ascii="宋体" w:hAnsi="宋体"/>
                <w:color w:val="auto"/>
                <w:szCs w:val="21"/>
                <w:highlight w:val="none"/>
              </w:rPr>
            </w:pPr>
            <w:r>
              <w:rPr>
                <w:rFonts w:hint="eastAsia" w:ascii="宋体" w:hAnsi="宋体"/>
                <w:color w:val="auto"/>
                <w:szCs w:val="21"/>
                <w:highlight w:val="none"/>
              </w:rPr>
              <w:t>24 ～ 25 分</w:t>
            </w:r>
          </w:p>
        </w:tc>
        <w:tc>
          <w:tcPr>
            <w:tcW w:w="3223" w:type="dxa"/>
            <w:tcBorders>
              <w:top w:val="single" w:color="auto" w:sz="4" w:space="0"/>
              <w:left w:val="single" w:color="auto" w:sz="4" w:space="0"/>
            </w:tcBorders>
            <w:vAlign w:val="center"/>
          </w:tcPr>
          <w:p w14:paraId="7D7941CF">
            <w:pPr>
              <w:pStyle w:val="14"/>
              <w:ind w:left="0" w:firstLine="0"/>
              <w:rPr>
                <w:rFonts w:ascii="宋体" w:hAnsi="宋体"/>
                <w:color w:val="auto"/>
                <w:szCs w:val="21"/>
                <w:highlight w:val="none"/>
              </w:rPr>
            </w:pPr>
            <w:r>
              <w:rPr>
                <w:rFonts w:hint="eastAsia" w:ascii="宋体" w:hAnsi="宋体"/>
                <w:color w:val="auto"/>
                <w:szCs w:val="21"/>
                <w:highlight w:val="none"/>
              </w:rPr>
              <w:t>满足资格审查条件（主要人员最低要求）的，得基本分24分；除满足资格审查条件要求的项目负责人业绩外，每增加一个二级及以上公路工程设计的项目负责人业绩的加</w:t>
            </w:r>
            <w:r>
              <w:rPr>
                <w:rFonts w:ascii="宋体" w:hAnsi="宋体"/>
                <w:color w:val="auto"/>
                <w:szCs w:val="21"/>
                <w:highlight w:val="none"/>
              </w:rPr>
              <w:t>1分</w:t>
            </w:r>
            <w:r>
              <w:rPr>
                <w:rFonts w:hint="eastAsia" w:ascii="宋体" w:hAnsi="宋体"/>
                <w:color w:val="auto"/>
                <w:szCs w:val="21"/>
                <w:highlight w:val="none"/>
              </w:rPr>
              <w:t>，最多加1分。（需附证明材料同资格审查条件附录3要求）</w:t>
            </w:r>
          </w:p>
        </w:tc>
      </w:tr>
      <w:tr w14:paraId="0B9F54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32" w:hRule="atLeast"/>
        </w:trPr>
        <w:tc>
          <w:tcPr>
            <w:tcW w:w="1169" w:type="dxa"/>
            <w:tcBorders>
              <w:top w:val="single" w:color="auto" w:sz="4" w:space="0"/>
            </w:tcBorders>
            <w:vAlign w:val="center"/>
          </w:tcPr>
          <w:p w14:paraId="2B6E6622">
            <w:pPr>
              <w:pStyle w:val="14"/>
              <w:ind w:left="0" w:firstLine="0"/>
              <w:rPr>
                <w:rFonts w:ascii="宋体" w:hAnsi="宋体"/>
                <w:color w:val="auto"/>
                <w:szCs w:val="21"/>
                <w:highlight w:val="none"/>
              </w:rPr>
            </w:pPr>
            <w:r>
              <w:rPr>
                <w:rFonts w:hint="eastAsia" w:ascii="宋体" w:hAnsi="宋体"/>
                <w:color w:val="auto"/>
                <w:szCs w:val="21"/>
                <w:highlight w:val="none"/>
              </w:rPr>
              <w:t>2.2.4（3）</w:t>
            </w:r>
          </w:p>
        </w:tc>
        <w:tc>
          <w:tcPr>
            <w:tcW w:w="1275" w:type="dxa"/>
            <w:tcBorders>
              <w:top w:val="single" w:color="auto" w:sz="4" w:space="0"/>
            </w:tcBorders>
            <w:vAlign w:val="center"/>
          </w:tcPr>
          <w:p w14:paraId="0794B9AA">
            <w:pPr>
              <w:pStyle w:val="14"/>
              <w:ind w:left="0" w:firstLine="0"/>
              <w:rPr>
                <w:rFonts w:ascii="宋体" w:hAnsi="宋体"/>
                <w:color w:val="auto"/>
                <w:szCs w:val="21"/>
                <w:highlight w:val="none"/>
              </w:rPr>
            </w:pPr>
            <w:r>
              <w:rPr>
                <w:rFonts w:hint="eastAsia" w:ascii="宋体" w:hAnsi="宋体"/>
                <w:color w:val="auto"/>
                <w:szCs w:val="21"/>
                <w:highlight w:val="none"/>
              </w:rPr>
              <w:t>评标价</w:t>
            </w:r>
          </w:p>
        </w:tc>
        <w:tc>
          <w:tcPr>
            <w:tcW w:w="1230" w:type="dxa"/>
            <w:tcBorders>
              <w:top w:val="single" w:color="auto" w:sz="4" w:space="0"/>
            </w:tcBorders>
            <w:vAlign w:val="center"/>
          </w:tcPr>
          <w:p w14:paraId="58E4AEFD">
            <w:pPr>
              <w:pStyle w:val="14"/>
              <w:ind w:left="0" w:firstLine="0"/>
              <w:rPr>
                <w:rFonts w:ascii="宋体" w:hAnsi="宋体"/>
                <w:color w:val="auto"/>
                <w:szCs w:val="21"/>
                <w:highlight w:val="none"/>
              </w:rPr>
            </w:pPr>
            <w:r>
              <w:rPr>
                <w:rFonts w:hint="eastAsia" w:ascii="宋体" w:hAnsi="宋体"/>
                <w:color w:val="auto"/>
                <w:szCs w:val="21"/>
                <w:highlight w:val="none"/>
              </w:rPr>
              <w:t>10分</w:t>
            </w:r>
          </w:p>
        </w:tc>
        <w:tc>
          <w:tcPr>
            <w:tcW w:w="5824" w:type="dxa"/>
            <w:gridSpan w:val="3"/>
            <w:tcBorders>
              <w:top w:val="single" w:color="auto" w:sz="4" w:space="0"/>
            </w:tcBorders>
            <w:vAlign w:val="center"/>
          </w:tcPr>
          <w:p w14:paraId="14147ED0">
            <w:pPr>
              <w:pStyle w:val="14"/>
              <w:ind w:left="0" w:firstLine="0"/>
              <w:rPr>
                <w:rFonts w:ascii="宋体" w:hAnsi="宋体"/>
                <w:color w:val="auto"/>
                <w:szCs w:val="21"/>
                <w:highlight w:val="none"/>
              </w:rPr>
            </w:pPr>
            <w:r>
              <w:rPr>
                <w:rFonts w:hint="eastAsia" w:ascii="宋体" w:hAnsi="宋体"/>
                <w:color w:val="auto"/>
                <w:szCs w:val="21"/>
                <w:highlight w:val="none"/>
              </w:rPr>
              <w:t>评标价得分计算公式示例：</w:t>
            </w:r>
          </w:p>
          <w:p w14:paraId="1F5FA467">
            <w:pPr>
              <w:pStyle w:val="14"/>
              <w:ind w:left="0" w:firstLine="0"/>
              <w:rPr>
                <w:rFonts w:ascii="宋体" w:hAnsi="宋体"/>
                <w:color w:val="auto"/>
                <w:szCs w:val="21"/>
                <w:highlight w:val="none"/>
              </w:rPr>
            </w:pPr>
            <w:r>
              <w:rPr>
                <w:rFonts w:hint="eastAsia" w:ascii="宋体" w:hAnsi="宋体"/>
                <w:color w:val="auto"/>
                <w:szCs w:val="21"/>
                <w:highlight w:val="none"/>
              </w:rPr>
              <w:t>如果竞包人的评标价＞评标基准价，则评标价得分=F－偏差率×lOO×E1；</w:t>
            </w:r>
          </w:p>
          <w:p w14:paraId="38FA6AD9">
            <w:pPr>
              <w:pStyle w:val="14"/>
              <w:ind w:left="0" w:firstLine="0"/>
              <w:rPr>
                <w:rFonts w:ascii="宋体" w:hAnsi="宋体"/>
                <w:color w:val="auto"/>
                <w:szCs w:val="21"/>
                <w:highlight w:val="none"/>
              </w:rPr>
            </w:pPr>
            <w:r>
              <w:rPr>
                <w:rFonts w:hint="eastAsia" w:ascii="宋体" w:hAnsi="宋体"/>
                <w:color w:val="auto"/>
                <w:szCs w:val="21"/>
                <w:highlight w:val="none"/>
              </w:rPr>
              <w:t>如果竞包人的评标价≤评标基准价，则评标价得分=F＋偏差率×100×E2。</w:t>
            </w:r>
          </w:p>
          <w:p w14:paraId="19C81995">
            <w:pPr>
              <w:pStyle w:val="14"/>
              <w:ind w:left="0" w:firstLine="0"/>
              <w:rPr>
                <w:rFonts w:ascii="宋体" w:hAnsi="宋体"/>
                <w:color w:val="auto"/>
                <w:szCs w:val="21"/>
                <w:highlight w:val="none"/>
              </w:rPr>
            </w:pPr>
            <w:r>
              <w:rPr>
                <w:rFonts w:hint="eastAsia" w:ascii="宋体" w:hAnsi="宋体"/>
                <w:color w:val="auto"/>
                <w:szCs w:val="21"/>
                <w:highlight w:val="none"/>
              </w:rPr>
              <w:t>其中：F是评标价所占的权重分值，E1是评标价每高于评标基准价一个百分点的扣分值，E2是评标价每低于评标基准价一个百分点的扣分值；E1=0.2，E2=0.1。</w:t>
            </w:r>
          </w:p>
          <w:p w14:paraId="74800F0B">
            <w:pPr>
              <w:pStyle w:val="14"/>
              <w:ind w:left="0" w:firstLine="0"/>
              <w:rPr>
                <w:rFonts w:ascii="宋体" w:hAnsi="宋体"/>
                <w:color w:val="auto"/>
                <w:szCs w:val="21"/>
                <w:highlight w:val="none"/>
              </w:rPr>
            </w:pPr>
            <w:r>
              <w:rPr>
                <w:rFonts w:hint="eastAsia" w:ascii="宋体" w:hAnsi="宋体"/>
                <w:color w:val="auto"/>
                <w:szCs w:val="21"/>
                <w:highlight w:val="none"/>
              </w:rPr>
              <w:t>评标价得分保留两位小数，最低得分为0分。</w:t>
            </w:r>
          </w:p>
        </w:tc>
      </w:tr>
    </w:tbl>
    <w:p w14:paraId="792745F5">
      <w:pPr>
        <w:pStyle w:val="14"/>
        <w:ind w:right="105" w:firstLine="420" w:firstLineChars="200"/>
        <w:jc w:val="right"/>
        <w:rPr>
          <w:rFonts w:ascii="黑体" w:eastAsia="黑体"/>
          <w:color w:val="auto"/>
          <w:sz w:val="28"/>
          <w:szCs w:val="28"/>
          <w:highlight w:val="none"/>
        </w:rPr>
      </w:pPr>
      <w:r>
        <w:rPr>
          <w:color w:val="auto"/>
          <w:highlight w:val="none"/>
        </w:rPr>
        <w:br w:type="page"/>
      </w:r>
      <w:r>
        <w:rPr>
          <w:rFonts w:hint="eastAsia" w:ascii="宋体" w:hAnsi="宋体"/>
          <w:color w:val="auto"/>
          <w:szCs w:val="21"/>
          <w:highlight w:val="none"/>
        </w:rPr>
        <w:t>续上表</w:t>
      </w:r>
    </w:p>
    <w:tbl>
      <w:tblPr>
        <w:tblStyle w:val="34"/>
        <w:tblW w:w="9498" w:type="dxa"/>
        <w:tblInd w:w="2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154"/>
        <w:gridCol w:w="405"/>
        <w:gridCol w:w="885"/>
        <w:gridCol w:w="1230"/>
        <w:gridCol w:w="1155"/>
        <w:gridCol w:w="1005"/>
        <w:gridCol w:w="3664"/>
      </w:tblGrid>
      <w:tr w14:paraId="56C7F1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25" w:hRule="atLeast"/>
        </w:trPr>
        <w:tc>
          <w:tcPr>
            <w:tcW w:w="5834" w:type="dxa"/>
            <w:gridSpan w:val="6"/>
            <w:vAlign w:val="center"/>
          </w:tcPr>
          <w:p w14:paraId="13ED44B7">
            <w:pPr>
              <w:pStyle w:val="14"/>
              <w:spacing w:line="360" w:lineRule="exact"/>
              <w:jc w:val="center"/>
              <w:rPr>
                <w:rFonts w:ascii="宋体" w:hAnsi="宋体"/>
                <w:color w:val="auto"/>
                <w:highlight w:val="none"/>
              </w:rPr>
            </w:pPr>
            <w:r>
              <w:rPr>
                <w:rFonts w:hint="eastAsia" w:ascii="宋体" w:hAnsi="宋体"/>
                <w:color w:val="auto"/>
                <w:highlight w:val="none"/>
              </w:rPr>
              <w:t>评分因素与权重分值</w:t>
            </w:r>
          </w:p>
        </w:tc>
        <w:tc>
          <w:tcPr>
            <w:tcW w:w="3664" w:type="dxa"/>
            <w:vMerge w:val="restart"/>
            <w:vAlign w:val="center"/>
          </w:tcPr>
          <w:p w14:paraId="1905CC9B">
            <w:pPr>
              <w:pStyle w:val="14"/>
              <w:spacing w:line="360" w:lineRule="exact"/>
              <w:jc w:val="center"/>
              <w:rPr>
                <w:rFonts w:ascii="宋体" w:hAnsi="宋体"/>
                <w:color w:val="auto"/>
                <w:highlight w:val="none"/>
              </w:rPr>
            </w:pPr>
            <w:r>
              <w:rPr>
                <w:rFonts w:hint="eastAsia" w:ascii="宋体" w:hAnsi="宋体"/>
                <w:color w:val="auto"/>
                <w:highlight w:val="none"/>
              </w:rPr>
              <w:t>评分标准</w:t>
            </w:r>
          </w:p>
        </w:tc>
      </w:tr>
      <w:tr w14:paraId="4726BD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58" w:hRule="atLeast"/>
        </w:trPr>
        <w:tc>
          <w:tcPr>
            <w:tcW w:w="1154" w:type="dxa"/>
            <w:vAlign w:val="center"/>
          </w:tcPr>
          <w:p w14:paraId="03300F07">
            <w:pPr>
              <w:pStyle w:val="14"/>
              <w:ind w:left="0" w:firstLine="0"/>
              <w:rPr>
                <w:rFonts w:ascii="宋体" w:hAnsi="宋体"/>
                <w:color w:val="auto"/>
                <w:szCs w:val="21"/>
                <w:highlight w:val="none"/>
              </w:rPr>
            </w:pPr>
            <w:r>
              <w:rPr>
                <w:rFonts w:hint="eastAsia" w:ascii="宋体" w:hAnsi="宋体"/>
                <w:color w:val="auto"/>
                <w:szCs w:val="21"/>
                <w:highlight w:val="none"/>
              </w:rPr>
              <w:t>条款号</w:t>
            </w:r>
          </w:p>
        </w:tc>
        <w:tc>
          <w:tcPr>
            <w:tcW w:w="1290" w:type="dxa"/>
            <w:gridSpan w:val="2"/>
            <w:vAlign w:val="center"/>
          </w:tcPr>
          <w:p w14:paraId="703F5D07">
            <w:pPr>
              <w:pStyle w:val="14"/>
              <w:ind w:left="0" w:firstLine="0"/>
              <w:rPr>
                <w:rFonts w:ascii="宋体" w:hAnsi="宋体"/>
                <w:color w:val="auto"/>
                <w:szCs w:val="21"/>
                <w:highlight w:val="none"/>
              </w:rPr>
            </w:pPr>
            <w:r>
              <w:rPr>
                <w:rFonts w:hint="eastAsia" w:ascii="宋体" w:hAnsi="宋体"/>
                <w:color w:val="auto"/>
                <w:szCs w:val="21"/>
                <w:highlight w:val="none"/>
              </w:rPr>
              <w:t>评分因素</w:t>
            </w:r>
          </w:p>
        </w:tc>
        <w:tc>
          <w:tcPr>
            <w:tcW w:w="1230" w:type="dxa"/>
            <w:tcMar>
              <w:left w:w="28" w:type="dxa"/>
              <w:right w:w="28" w:type="dxa"/>
            </w:tcMar>
            <w:vAlign w:val="center"/>
          </w:tcPr>
          <w:p w14:paraId="69D50673">
            <w:pPr>
              <w:pStyle w:val="14"/>
              <w:ind w:left="0" w:firstLine="0"/>
              <w:rPr>
                <w:rFonts w:ascii="宋体" w:hAnsi="宋体"/>
                <w:color w:val="auto"/>
                <w:szCs w:val="21"/>
                <w:highlight w:val="none"/>
              </w:rPr>
            </w:pPr>
            <w:r>
              <w:rPr>
                <w:rFonts w:hint="eastAsia" w:ascii="宋体" w:hAnsi="宋体"/>
                <w:color w:val="auto"/>
                <w:szCs w:val="21"/>
                <w:highlight w:val="none"/>
              </w:rPr>
              <w:t>评分因素</w:t>
            </w:r>
          </w:p>
          <w:p w14:paraId="2276E1FE">
            <w:pPr>
              <w:pStyle w:val="14"/>
              <w:ind w:left="0" w:firstLine="0"/>
              <w:rPr>
                <w:rFonts w:ascii="宋体" w:hAnsi="宋体"/>
                <w:color w:val="auto"/>
                <w:szCs w:val="21"/>
                <w:highlight w:val="none"/>
              </w:rPr>
            </w:pPr>
            <w:r>
              <w:rPr>
                <w:rFonts w:hint="eastAsia" w:ascii="宋体" w:hAnsi="宋体"/>
                <w:color w:val="auto"/>
                <w:szCs w:val="21"/>
                <w:highlight w:val="none"/>
              </w:rPr>
              <w:t>权重分值</w:t>
            </w:r>
          </w:p>
        </w:tc>
        <w:tc>
          <w:tcPr>
            <w:tcW w:w="1155" w:type="dxa"/>
            <w:vAlign w:val="center"/>
          </w:tcPr>
          <w:p w14:paraId="261655C9">
            <w:pPr>
              <w:pStyle w:val="14"/>
              <w:ind w:left="0" w:firstLine="0"/>
              <w:rPr>
                <w:rFonts w:ascii="宋体" w:hAnsi="宋体"/>
                <w:color w:val="auto"/>
                <w:szCs w:val="21"/>
                <w:highlight w:val="none"/>
              </w:rPr>
            </w:pPr>
            <w:r>
              <w:rPr>
                <w:rFonts w:hint="eastAsia" w:ascii="宋体" w:hAnsi="宋体"/>
                <w:color w:val="auto"/>
                <w:szCs w:val="21"/>
                <w:highlight w:val="none"/>
              </w:rPr>
              <w:t>各评审因素细分项</w:t>
            </w:r>
          </w:p>
        </w:tc>
        <w:tc>
          <w:tcPr>
            <w:tcW w:w="1005" w:type="dxa"/>
            <w:vAlign w:val="center"/>
          </w:tcPr>
          <w:p w14:paraId="1D6B0C4A">
            <w:pPr>
              <w:pStyle w:val="14"/>
              <w:ind w:left="0" w:firstLine="0"/>
              <w:rPr>
                <w:rFonts w:ascii="宋体" w:hAnsi="宋体"/>
                <w:color w:val="auto"/>
                <w:szCs w:val="21"/>
                <w:highlight w:val="none"/>
              </w:rPr>
            </w:pPr>
            <w:r>
              <w:rPr>
                <w:rFonts w:hint="eastAsia" w:ascii="宋体" w:hAnsi="宋体"/>
                <w:color w:val="auto"/>
                <w:szCs w:val="21"/>
                <w:highlight w:val="none"/>
              </w:rPr>
              <w:t>分值</w:t>
            </w:r>
          </w:p>
        </w:tc>
        <w:tc>
          <w:tcPr>
            <w:tcW w:w="3664" w:type="dxa"/>
            <w:vMerge w:val="continue"/>
            <w:vAlign w:val="center"/>
          </w:tcPr>
          <w:p w14:paraId="12740143">
            <w:pPr>
              <w:pStyle w:val="14"/>
              <w:ind w:left="0" w:firstLine="0"/>
              <w:rPr>
                <w:rFonts w:ascii="宋体" w:hAnsi="宋体"/>
                <w:color w:val="auto"/>
                <w:szCs w:val="21"/>
                <w:highlight w:val="none"/>
              </w:rPr>
            </w:pPr>
          </w:p>
        </w:tc>
      </w:tr>
      <w:tr w14:paraId="055F4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960" w:hRule="atLeast"/>
        </w:trPr>
        <w:tc>
          <w:tcPr>
            <w:tcW w:w="1154" w:type="dxa"/>
            <w:vMerge w:val="restart"/>
            <w:vAlign w:val="center"/>
          </w:tcPr>
          <w:p w14:paraId="701900A0">
            <w:pPr>
              <w:pStyle w:val="14"/>
              <w:ind w:left="0" w:firstLine="0"/>
              <w:rPr>
                <w:rFonts w:ascii="宋体" w:hAnsi="宋体"/>
                <w:color w:val="auto"/>
                <w:szCs w:val="21"/>
                <w:highlight w:val="none"/>
              </w:rPr>
            </w:pPr>
            <w:r>
              <w:rPr>
                <w:rFonts w:hint="eastAsia" w:ascii="宋体" w:hAnsi="宋体"/>
                <w:color w:val="auto"/>
                <w:szCs w:val="21"/>
                <w:highlight w:val="none"/>
              </w:rPr>
              <w:t>2.2.4（4）</w:t>
            </w:r>
          </w:p>
        </w:tc>
        <w:tc>
          <w:tcPr>
            <w:tcW w:w="405" w:type="dxa"/>
            <w:vMerge w:val="restart"/>
            <w:vAlign w:val="center"/>
          </w:tcPr>
          <w:p w14:paraId="61ED0E8F">
            <w:pPr>
              <w:pStyle w:val="14"/>
              <w:ind w:left="0" w:firstLine="0"/>
              <w:rPr>
                <w:rFonts w:ascii="宋体" w:hAnsi="宋体"/>
                <w:color w:val="auto"/>
                <w:szCs w:val="21"/>
                <w:highlight w:val="none"/>
              </w:rPr>
            </w:pPr>
            <w:r>
              <w:rPr>
                <w:rFonts w:hint="eastAsia" w:ascii="宋体" w:hAnsi="宋体"/>
                <w:color w:val="auto"/>
                <w:szCs w:val="21"/>
                <w:highlight w:val="none"/>
              </w:rPr>
              <w:t>其他因素</w:t>
            </w:r>
          </w:p>
        </w:tc>
        <w:tc>
          <w:tcPr>
            <w:tcW w:w="885" w:type="dxa"/>
            <w:vAlign w:val="center"/>
          </w:tcPr>
          <w:p w14:paraId="063DE918">
            <w:pPr>
              <w:pStyle w:val="14"/>
              <w:ind w:left="0" w:firstLine="0"/>
              <w:rPr>
                <w:rFonts w:ascii="宋体" w:hAnsi="宋体"/>
                <w:color w:val="auto"/>
                <w:szCs w:val="21"/>
                <w:highlight w:val="none"/>
              </w:rPr>
            </w:pPr>
          </w:p>
          <w:p w14:paraId="36CC8302">
            <w:pPr>
              <w:pStyle w:val="14"/>
              <w:ind w:left="0" w:firstLine="0"/>
              <w:rPr>
                <w:rFonts w:ascii="宋体" w:hAnsi="宋体"/>
                <w:color w:val="auto"/>
                <w:szCs w:val="21"/>
                <w:highlight w:val="none"/>
              </w:rPr>
            </w:pPr>
            <w:r>
              <w:rPr>
                <w:rFonts w:hint="eastAsia" w:ascii="宋体" w:hAnsi="宋体"/>
                <w:color w:val="auto"/>
                <w:szCs w:val="21"/>
                <w:highlight w:val="none"/>
              </w:rPr>
              <w:t>业绩</w:t>
            </w:r>
          </w:p>
        </w:tc>
        <w:tc>
          <w:tcPr>
            <w:tcW w:w="1230" w:type="dxa"/>
            <w:vAlign w:val="center"/>
          </w:tcPr>
          <w:p w14:paraId="569CE2D3">
            <w:pPr>
              <w:pStyle w:val="14"/>
              <w:ind w:left="0" w:firstLine="0"/>
              <w:rPr>
                <w:rFonts w:ascii="宋体" w:hAnsi="宋体"/>
                <w:color w:val="auto"/>
                <w:szCs w:val="21"/>
                <w:highlight w:val="none"/>
              </w:rPr>
            </w:pPr>
          </w:p>
          <w:p w14:paraId="17F435AB">
            <w:pPr>
              <w:pStyle w:val="14"/>
              <w:ind w:left="0" w:firstLine="0"/>
              <w:rPr>
                <w:rFonts w:ascii="宋体" w:hAnsi="宋体"/>
                <w:color w:val="auto"/>
                <w:szCs w:val="21"/>
                <w:highlight w:val="none"/>
              </w:rPr>
            </w:pPr>
            <w:r>
              <w:rPr>
                <w:rFonts w:hint="eastAsia" w:ascii="宋体" w:hAnsi="宋体"/>
                <w:color w:val="auto"/>
                <w:szCs w:val="21"/>
                <w:highlight w:val="none"/>
              </w:rPr>
              <w:t>10分</w:t>
            </w:r>
          </w:p>
        </w:tc>
        <w:tc>
          <w:tcPr>
            <w:tcW w:w="1155" w:type="dxa"/>
            <w:vAlign w:val="center"/>
          </w:tcPr>
          <w:p w14:paraId="48E729AC">
            <w:pPr>
              <w:pStyle w:val="14"/>
              <w:ind w:left="0" w:firstLine="0"/>
              <w:rPr>
                <w:rFonts w:ascii="宋体" w:hAnsi="宋体"/>
                <w:color w:val="auto"/>
                <w:szCs w:val="21"/>
                <w:highlight w:val="none"/>
              </w:rPr>
            </w:pPr>
          </w:p>
          <w:p w14:paraId="4D38DE24">
            <w:pPr>
              <w:pStyle w:val="14"/>
              <w:ind w:left="0"/>
              <w:rPr>
                <w:rFonts w:ascii="宋体" w:hAnsi="宋体"/>
                <w:color w:val="auto"/>
                <w:szCs w:val="21"/>
                <w:highlight w:val="none"/>
              </w:rPr>
            </w:pPr>
            <w:r>
              <w:rPr>
                <w:rFonts w:hint="eastAsia" w:ascii="宋体" w:hAnsi="宋体"/>
                <w:color w:val="auto"/>
                <w:szCs w:val="21"/>
                <w:highlight w:val="none"/>
              </w:rPr>
              <w:t>类似设设计项目业绩</w:t>
            </w:r>
          </w:p>
        </w:tc>
        <w:tc>
          <w:tcPr>
            <w:tcW w:w="1005" w:type="dxa"/>
            <w:vAlign w:val="center"/>
          </w:tcPr>
          <w:p w14:paraId="6CCCD3B9">
            <w:pPr>
              <w:pStyle w:val="14"/>
              <w:ind w:left="0" w:firstLine="0"/>
              <w:rPr>
                <w:rFonts w:ascii="宋体" w:hAnsi="宋体"/>
                <w:color w:val="auto"/>
                <w:szCs w:val="21"/>
                <w:highlight w:val="none"/>
              </w:rPr>
            </w:pPr>
            <w:r>
              <w:rPr>
                <w:rFonts w:hint="eastAsia" w:ascii="宋体" w:hAnsi="宋体"/>
                <w:color w:val="auto"/>
                <w:szCs w:val="21"/>
                <w:highlight w:val="none"/>
              </w:rPr>
              <w:t>8</w:t>
            </w:r>
            <w:r>
              <w:rPr>
                <w:rFonts w:ascii="宋体" w:hAnsi="宋体"/>
                <w:color w:val="auto"/>
                <w:szCs w:val="21"/>
                <w:highlight w:val="none"/>
              </w:rPr>
              <w:t>-10</w:t>
            </w:r>
            <w:r>
              <w:rPr>
                <w:rFonts w:hint="eastAsia" w:ascii="宋体" w:hAnsi="宋体"/>
                <w:color w:val="auto"/>
                <w:szCs w:val="21"/>
                <w:highlight w:val="none"/>
              </w:rPr>
              <w:t>分</w:t>
            </w:r>
          </w:p>
          <w:p w14:paraId="246DF034">
            <w:pPr>
              <w:pStyle w:val="14"/>
              <w:ind w:left="0"/>
              <w:rPr>
                <w:rFonts w:ascii="宋体" w:hAnsi="宋体"/>
                <w:color w:val="auto"/>
                <w:szCs w:val="21"/>
                <w:highlight w:val="none"/>
              </w:rPr>
            </w:pPr>
            <w:r>
              <w:rPr>
                <w:rFonts w:ascii="宋体" w:hAnsi="宋体"/>
                <w:color w:val="auto"/>
                <w:szCs w:val="21"/>
                <w:highlight w:val="none"/>
              </w:rPr>
              <w:t>8</w:t>
            </w:r>
            <w:r>
              <w:rPr>
                <w:rFonts w:hint="eastAsia" w:ascii="宋体" w:hAnsi="宋体"/>
                <w:color w:val="auto"/>
                <w:szCs w:val="21"/>
                <w:highlight w:val="none"/>
              </w:rPr>
              <w:t>-</w:t>
            </w:r>
            <w:r>
              <w:rPr>
                <w:rFonts w:ascii="宋体" w:hAnsi="宋体"/>
                <w:color w:val="auto"/>
                <w:szCs w:val="21"/>
                <w:highlight w:val="none"/>
              </w:rPr>
              <w:t>10</w:t>
            </w:r>
            <w:r>
              <w:rPr>
                <w:rFonts w:hint="eastAsia" w:ascii="宋体" w:hAnsi="宋体"/>
                <w:color w:val="auto"/>
                <w:szCs w:val="21"/>
                <w:highlight w:val="none"/>
              </w:rPr>
              <w:t>分</w:t>
            </w:r>
          </w:p>
        </w:tc>
        <w:tc>
          <w:tcPr>
            <w:tcW w:w="3664" w:type="dxa"/>
            <w:vAlign w:val="center"/>
          </w:tcPr>
          <w:p w14:paraId="52DD0F4F">
            <w:pPr>
              <w:pStyle w:val="14"/>
              <w:ind w:left="0" w:firstLine="0"/>
              <w:rPr>
                <w:rFonts w:ascii="宋体" w:hAnsi="宋体"/>
                <w:color w:val="auto"/>
                <w:szCs w:val="21"/>
                <w:highlight w:val="none"/>
              </w:rPr>
            </w:pPr>
            <w:r>
              <w:rPr>
                <w:rFonts w:hint="eastAsia" w:ascii="宋体" w:hAnsi="宋体"/>
                <w:color w:val="auto"/>
                <w:szCs w:val="21"/>
                <w:highlight w:val="none"/>
              </w:rPr>
              <w:t>满足资格审查条件（设计业绩最低要求）的，得基本分8分；</w:t>
            </w:r>
          </w:p>
          <w:p w14:paraId="152F84E0">
            <w:pPr>
              <w:pStyle w:val="14"/>
              <w:ind w:left="0" w:firstLine="0"/>
              <w:rPr>
                <w:rFonts w:ascii="宋体" w:hAnsi="宋体"/>
                <w:color w:val="auto"/>
                <w:szCs w:val="21"/>
                <w:highlight w:val="none"/>
              </w:rPr>
            </w:pPr>
            <w:r>
              <w:rPr>
                <w:rFonts w:hint="eastAsia" w:ascii="宋体" w:hAnsi="宋体"/>
                <w:color w:val="auto"/>
                <w:szCs w:val="21"/>
                <w:highlight w:val="none"/>
              </w:rPr>
              <w:t>除满足资格审查条件要求的业绩外：每增加一个公路绿化工程的设计业绩的加1分，最多可加2分。</w:t>
            </w:r>
          </w:p>
          <w:p w14:paraId="1A3CC60F">
            <w:pPr>
              <w:pStyle w:val="14"/>
              <w:ind w:left="0" w:firstLine="0"/>
              <w:rPr>
                <w:rFonts w:ascii="宋体" w:hAnsi="宋体"/>
                <w:color w:val="auto"/>
                <w:szCs w:val="21"/>
                <w:highlight w:val="none"/>
              </w:rPr>
            </w:pPr>
            <w:r>
              <w:rPr>
                <w:rFonts w:hint="eastAsia" w:ascii="宋体" w:hAnsi="宋体"/>
                <w:color w:val="auto"/>
                <w:szCs w:val="21"/>
                <w:highlight w:val="none"/>
              </w:rPr>
              <w:t>（需附证明材料，同资格审查条件附录2要求）</w:t>
            </w:r>
          </w:p>
        </w:tc>
      </w:tr>
      <w:tr w14:paraId="2BECDA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581" w:hRule="atLeast"/>
        </w:trPr>
        <w:tc>
          <w:tcPr>
            <w:tcW w:w="1154" w:type="dxa"/>
            <w:vMerge w:val="continue"/>
            <w:vAlign w:val="center"/>
          </w:tcPr>
          <w:p w14:paraId="5A87A509">
            <w:pPr>
              <w:pStyle w:val="14"/>
              <w:ind w:left="0" w:firstLine="0"/>
              <w:rPr>
                <w:rFonts w:ascii="宋体" w:hAnsi="宋体"/>
                <w:color w:val="auto"/>
                <w:szCs w:val="21"/>
                <w:highlight w:val="none"/>
              </w:rPr>
            </w:pPr>
          </w:p>
        </w:tc>
        <w:tc>
          <w:tcPr>
            <w:tcW w:w="405" w:type="dxa"/>
            <w:vMerge w:val="continue"/>
            <w:vAlign w:val="center"/>
          </w:tcPr>
          <w:p w14:paraId="750B85CD">
            <w:pPr>
              <w:pStyle w:val="14"/>
              <w:ind w:left="0" w:firstLine="0"/>
              <w:rPr>
                <w:rFonts w:ascii="宋体" w:hAnsi="宋体"/>
                <w:color w:val="auto"/>
                <w:szCs w:val="21"/>
                <w:highlight w:val="none"/>
              </w:rPr>
            </w:pPr>
          </w:p>
        </w:tc>
        <w:tc>
          <w:tcPr>
            <w:tcW w:w="885" w:type="dxa"/>
            <w:vMerge w:val="restart"/>
            <w:vAlign w:val="center"/>
          </w:tcPr>
          <w:p w14:paraId="7615FC68">
            <w:pPr>
              <w:pStyle w:val="14"/>
              <w:ind w:left="0" w:firstLine="0"/>
              <w:rPr>
                <w:rFonts w:ascii="宋体" w:hAnsi="宋体"/>
                <w:color w:val="auto"/>
                <w:szCs w:val="21"/>
                <w:highlight w:val="none"/>
              </w:rPr>
            </w:pPr>
            <w:r>
              <w:rPr>
                <w:rFonts w:hint="eastAsia" w:ascii="宋体" w:hAnsi="宋体"/>
                <w:color w:val="auto"/>
                <w:szCs w:val="21"/>
                <w:highlight w:val="none"/>
              </w:rPr>
              <w:t>履约</w:t>
            </w:r>
          </w:p>
          <w:p w14:paraId="5C548FC6">
            <w:pPr>
              <w:pStyle w:val="14"/>
              <w:ind w:left="0" w:firstLine="0"/>
              <w:rPr>
                <w:rFonts w:ascii="宋体" w:hAnsi="宋体"/>
                <w:color w:val="auto"/>
                <w:szCs w:val="21"/>
                <w:highlight w:val="none"/>
              </w:rPr>
            </w:pPr>
            <w:r>
              <w:rPr>
                <w:rFonts w:hint="eastAsia" w:ascii="宋体" w:hAnsi="宋体"/>
                <w:color w:val="auto"/>
                <w:szCs w:val="21"/>
                <w:highlight w:val="none"/>
              </w:rPr>
              <w:t>信誉</w:t>
            </w:r>
          </w:p>
        </w:tc>
        <w:tc>
          <w:tcPr>
            <w:tcW w:w="1230" w:type="dxa"/>
            <w:vMerge w:val="restart"/>
            <w:vAlign w:val="center"/>
          </w:tcPr>
          <w:p w14:paraId="30197FDB">
            <w:pPr>
              <w:pStyle w:val="14"/>
              <w:ind w:left="0" w:firstLine="0"/>
              <w:rPr>
                <w:rFonts w:ascii="宋体" w:hAnsi="宋体"/>
                <w:color w:val="auto"/>
                <w:szCs w:val="21"/>
                <w:highlight w:val="none"/>
              </w:rPr>
            </w:pPr>
            <w:r>
              <w:rPr>
                <w:rFonts w:hint="eastAsia" w:ascii="宋体" w:hAnsi="宋体"/>
                <w:color w:val="auto"/>
                <w:szCs w:val="21"/>
                <w:highlight w:val="none"/>
              </w:rPr>
              <w:t>10分</w:t>
            </w:r>
          </w:p>
        </w:tc>
        <w:tc>
          <w:tcPr>
            <w:tcW w:w="1155" w:type="dxa"/>
            <w:vAlign w:val="center"/>
          </w:tcPr>
          <w:p w14:paraId="3A2A93CE">
            <w:pPr>
              <w:pStyle w:val="14"/>
              <w:ind w:left="0" w:firstLine="0"/>
              <w:rPr>
                <w:rFonts w:ascii="宋体" w:hAnsi="宋体"/>
                <w:color w:val="auto"/>
                <w:szCs w:val="21"/>
                <w:highlight w:val="none"/>
              </w:rPr>
            </w:pPr>
          </w:p>
          <w:p w14:paraId="76FA4909">
            <w:pPr>
              <w:pStyle w:val="14"/>
              <w:ind w:left="0" w:firstLine="0"/>
              <w:rPr>
                <w:rFonts w:ascii="宋体" w:hAnsi="宋体"/>
                <w:color w:val="auto"/>
                <w:szCs w:val="21"/>
                <w:highlight w:val="none"/>
              </w:rPr>
            </w:pPr>
            <w:r>
              <w:rPr>
                <w:rFonts w:hint="eastAsia" w:ascii="宋体" w:hAnsi="宋体"/>
                <w:color w:val="auto"/>
                <w:szCs w:val="21"/>
                <w:highlight w:val="none"/>
              </w:rPr>
              <w:t>信用评价</w:t>
            </w:r>
          </w:p>
        </w:tc>
        <w:tc>
          <w:tcPr>
            <w:tcW w:w="1005" w:type="dxa"/>
            <w:vAlign w:val="center"/>
          </w:tcPr>
          <w:p w14:paraId="67E492C8">
            <w:pPr>
              <w:pStyle w:val="14"/>
              <w:ind w:left="0" w:firstLine="0"/>
              <w:rPr>
                <w:rFonts w:ascii="宋体" w:hAnsi="宋体"/>
                <w:color w:val="auto"/>
                <w:szCs w:val="21"/>
                <w:highlight w:val="none"/>
              </w:rPr>
            </w:pPr>
          </w:p>
          <w:p w14:paraId="084E012A">
            <w:pPr>
              <w:pStyle w:val="14"/>
              <w:ind w:left="0" w:firstLine="0"/>
              <w:rPr>
                <w:rFonts w:ascii="宋体" w:hAnsi="宋体"/>
                <w:color w:val="auto"/>
                <w:szCs w:val="21"/>
                <w:highlight w:val="none"/>
              </w:rPr>
            </w:pPr>
            <w:r>
              <w:rPr>
                <w:rFonts w:hint="eastAsia" w:ascii="宋体" w:hAnsi="宋体"/>
                <w:color w:val="auto"/>
                <w:szCs w:val="21"/>
                <w:highlight w:val="none"/>
              </w:rPr>
              <w:t>6分</w:t>
            </w:r>
          </w:p>
        </w:tc>
        <w:tc>
          <w:tcPr>
            <w:tcW w:w="3664" w:type="dxa"/>
            <w:vAlign w:val="center"/>
          </w:tcPr>
          <w:p w14:paraId="1D7C59A0">
            <w:pPr>
              <w:pStyle w:val="14"/>
              <w:ind w:left="0" w:firstLine="0"/>
              <w:rPr>
                <w:rFonts w:ascii="宋体" w:hAnsi="宋体"/>
                <w:color w:val="auto"/>
                <w:szCs w:val="21"/>
                <w:highlight w:val="none"/>
              </w:rPr>
            </w:pPr>
            <w:r>
              <w:rPr>
                <w:rFonts w:hint="eastAsia" w:ascii="宋体" w:hAnsi="宋体"/>
                <w:color w:val="auto"/>
                <w:szCs w:val="21"/>
                <w:highlight w:val="none"/>
              </w:rPr>
              <w:t>（1）企业信用评价结果得分：</w:t>
            </w:r>
          </w:p>
          <w:p w14:paraId="46FB1911">
            <w:pPr>
              <w:pStyle w:val="14"/>
              <w:ind w:left="0" w:firstLine="0"/>
              <w:rPr>
                <w:rFonts w:ascii="宋体" w:hAnsi="宋体"/>
                <w:color w:val="auto"/>
                <w:szCs w:val="21"/>
                <w:highlight w:val="none"/>
              </w:rPr>
            </w:pPr>
            <w:r>
              <w:rPr>
                <w:rFonts w:hint="eastAsia" w:ascii="宋体" w:hAnsi="宋体"/>
                <w:color w:val="auto"/>
                <w:szCs w:val="21"/>
                <w:highlight w:val="none"/>
              </w:rPr>
              <w:t>根据浙江省交通运输厅公布的信用评价结果（以竞包截止时间有效的信用评价结果为准）,信用等级为AA级得5分，A级得4.5分，B级得3.5分，C级得0分，D级得-3分，未参加信用评价的按B级计算。</w:t>
            </w:r>
          </w:p>
          <w:p w14:paraId="3B5753C7">
            <w:pPr>
              <w:pStyle w:val="14"/>
              <w:ind w:left="0" w:firstLine="0"/>
              <w:rPr>
                <w:rFonts w:ascii="宋体" w:hAnsi="宋体"/>
                <w:color w:val="auto"/>
                <w:szCs w:val="21"/>
                <w:highlight w:val="none"/>
              </w:rPr>
            </w:pPr>
            <w:r>
              <w:rPr>
                <w:rFonts w:hint="eastAsia" w:ascii="宋体" w:hAnsi="宋体"/>
                <w:color w:val="auto"/>
                <w:szCs w:val="21"/>
                <w:highlight w:val="none"/>
              </w:rPr>
              <w:t>联合体竞包的，得分按以下原则确定（各成员指承担设计任务的所有成员）：</w:t>
            </w:r>
          </w:p>
          <w:p w14:paraId="512DA8AD">
            <w:pPr>
              <w:pStyle w:val="14"/>
              <w:ind w:left="0" w:firstLine="0"/>
              <w:rPr>
                <w:rFonts w:ascii="宋体" w:hAnsi="宋体"/>
                <w:color w:val="auto"/>
                <w:szCs w:val="21"/>
                <w:highlight w:val="none"/>
              </w:rPr>
            </w:pPr>
            <w:r>
              <w:rPr>
                <w:rFonts w:hint="eastAsia" w:ascii="宋体" w:hAnsi="宋体"/>
                <w:color w:val="auto"/>
                <w:szCs w:val="21"/>
                <w:highlight w:val="none"/>
              </w:rPr>
              <w:t>a、各成员均为B级及以上、且B级为未参加信用评价的，以联合体牵头人的信用等级得分为准；</w:t>
            </w:r>
          </w:p>
          <w:p w14:paraId="2FC331E9">
            <w:pPr>
              <w:pStyle w:val="14"/>
              <w:ind w:left="0" w:firstLine="0"/>
              <w:rPr>
                <w:rFonts w:ascii="宋体" w:hAnsi="宋体"/>
                <w:color w:val="auto"/>
                <w:szCs w:val="21"/>
                <w:highlight w:val="none"/>
              </w:rPr>
            </w:pPr>
            <w:r>
              <w:rPr>
                <w:rFonts w:hint="eastAsia" w:ascii="宋体" w:hAnsi="宋体"/>
                <w:color w:val="auto"/>
                <w:szCs w:val="21"/>
                <w:highlight w:val="none"/>
              </w:rPr>
              <w:t>b、达不到上述a要求的，以各成员中信用等级得分较低的为准。</w:t>
            </w:r>
          </w:p>
          <w:p w14:paraId="4DAE101E">
            <w:pPr>
              <w:pStyle w:val="14"/>
              <w:ind w:left="0" w:firstLine="0"/>
              <w:rPr>
                <w:rFonts w:ascii="宋体" w:hAnsi="宋体"/>
                <w:color w:val="auto"/>
                <w:szCs w:val="21"/>
                <w:highlight w:val="none"/>
              </w:rPr>
            </w:pPr>
            <w:r>
              <w:rPr>
                <w:rFonts w:hint="eastAsia" w:ascii="宋体" w:hAnsi="宋体"/>
                <w:color w:val="auto"/>
                <w:szCs w:val="21"/>
                <w:highlight w:val="none"/>
              </w:rPr>
              <w:t>（2）项目负责人信用评价结果得分：</w:t>
            </w:r>
          </w:p>
          <w:p w14:paraId="5DFE50E7">
            <w:pPr>
              <w:pStyle w:val="14"/>
              <w:ind w:left="0" w:firstLine="0"/>
              <w:rPr>
                <w:rFonts w:ascii="宋体" w:hAnsi="宋体"/>
                <w:color w:val="auto"/>
                <w:szCs w:val="21"/>
                <w:highlight w:val="none"/>
              </w:rPr>
            </w:pPr>
            <w:r>
              <w:rPr>
                <w:rFonts w:hint="eastAsia" w:ascii="宋体" w:hAnsi="宋体"/>
                <w:color w:val="auto"/>
                <w:szCs w:val="21"/>
                <w:highlight w:val="none"/>
              </w:rPr>
              <w:t>根据浙江省交通运输厅公布的信用评价结果（以竞包截止时间有效的信用评价结果为准），拟任项目负责人信用等级为AA级得1分，A级得0.9分，B级得0.7分，C级得0分，D级得-1分，未参加信用评价的按B级计算。</w:t>
            </w:r>
          </w:p>
        </w:tc>
      </w:tr>
      <w:tr w14:paraId="1381A6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068" w:hRule="atLeast"/>
        </w:trPr>
        <w:tc>
          <w:tcPr>
            <w:tcW w:w="1154" w:type="dxa"/>
            <w:vMerge w:val="continue"/>
            <w:vAlign w:val="center"/>
          </w:tcPr>
          <w:p w14:paraId="741A8C58">
            <w:pPr>
              <w:pStyle w:val="14"/>
              <w:ind w:left="0" w:firstLine="0"/>
              <w:rPr>
                <w:rFonts w:ascii="宋体" w:hAnsi="宋体"/>
                <w:color w:val="auto"/>
                <w:szCs w:val="21"/>
                <w:highlight w:val="none"/>
              </w:rPr>
            </w:pPr>
          </w:p>
        </w:tc>
        <w:tc>
          <w:tcPr>
            <w:tcW w:w="405" w:type="dxa"/>
            <w:vMerge w:val="continue"/>
            <w:vAlign w:val="center"/>
          </w:tcPr>
          <w:p w14:paraId="262B7064">
            <w:pPr>
              <w:pStyle w:val="14"/>
              <w:ind w:left="0" w:firstLine="0"/>
              <w:rPr>
                <w:rFonts w:ascii="宋体" w:hAnsi="宋体"/>
                <w:color w:val="auto"/>
                <w:szCs w:val="21"/>
                <w:highlight w:val="none"/>
              </w:rPr>
            </w:pPr>
          </w:p>
        </w:tc>
        <w:tc>
          <w:tcPr>
            <w:tcW w:w="885" w:type="dxa"/>
            <w:vMerge w:val="continue"/>
            <w:vAlign w:val="center"/>
          </w:tcPr>
          <w:p w14:paraId="7E2C0017">
            <w:pPr>
              <w:pStyle w:val="14"/>
              <w:ind w:left="0" w:firstLine="0"/>
              <w:rPr>
                <w:rFonts w:ascii="宋体" w:hAnsi="宋体"/>
                <w:color w:val="auto"/>
                <w:szCs w:val="21"/>
                <w:highlight w:val="none"/>
              </w:rPr>
            </w:pPr>
          </w:p>
        </w:tc>
        <w:tc>
          <w:tcPr>
            <w:tcW w:w="1230" w:type="dxa"/>
            <w:vMerge w:val="continue"/>
            <w:vAlign w:val="center"/>
          </w:tcPr>
          <w:p w14:paraId="70071843">
            <w:pPr>
              <w:pStyle w:val="14"/>
              <w:ind w:left="0" w:firstLine="0"/>
              <w:rPr>
                <w:rFonts w:ascii="宋体" w:hAnsi="宋体"/>
                <w:color w:val="auto"/>
                <w:szCs w:val="21"/>
                <w:highlight w:val="none"/>
              </w:rPr>
            </w:pPr>
          </w:p>
        </w:tc>
        <w:tc>
          <w:tcPr>
            <w:tcW w:w="1155" w:type="dxa"/>
            <w:vAlign w:val="center"/>
          </w:tcPr>
          <w:p w14:paraId="7BFD2A97">
            <w:pPr>
              <w:pStyle w:val="14"/>
              <w:ind w:left="0" w:firstLine="0"/>
              <w:rPr>
                <w:rFonts w:ascii="宋体" w:hAnsi="宋体"/>
                <w:color w:val="auto"/>
                <w:szCs w:val="21"/>
                <w:highlight w:val="none"/>
              </w:rPr>
            </w:pPr>
            <w:r>
              <w:rPr>
                <w:rFonts w:hint="eastAsia" w:ascii="宋体" w:hAnsi="宋体"/>
                <w:color w:val="auto"/>
                <w:szCs w:val="21"/>
                <w:highlight w:val="none"/>
              </w:rPr>
              <w:t>信息公开</w:t>
            </w:r>
          </w:p>
        </w:tc>
        <w:tc>
          <w:tcPr>
            <w:tcW w:w="1005" w:type="dxa"/>
            <w:vAlign w:val="center"/>
          </w:tcPr>
          <w:p w14:paraId="53FAC293">
            <w:pPr>
              <w:pStyle w:val="14"/>
              <w:ind w:left="0" w:firstLine="0"/>
              <w:rPr>
                <w:rFonts w:ascii="宋体" w:hAnsi="宋体"/>
                <w:color w:val="auto"/>
                <w:szCs w:val="21"/>
                <w:highlight w:val="none"/>
              </w:rPr>
            </w:pPr>
            <w:r>
              <w:rPr>
                <w:rFonts w:hint="eastAsia" w:ascii="宋体" w:hAnsi="宋体"/>
                <w:color w:val="auto"/>
                <w:szCs w:val="21"/>
                <w:highlight w:val="none"/>
              </w:rPr>
              <w:t>4分</w:t>
            </w:r>
          </w:p>
        </w:tc>
        <w:tc>
          <w:tcPr>
            <w:tcW w:w="3664" w:type="dxa"/>
            <w:vAlign w:val="center"/>
          </w:tcPr>
          <w:p w14:paraId="48834834">
            <w:pPr>
              <w:pStyle w:val="14"/>
              <w:ind w:left="0" w:firstLine="0"/>
              <w:rPr>
                <w:rFonts w:ascii="宋体" w:hAnsi="宋体"/>
                <w:color w:val="auto"/>
                <w:szCs w:val="21"/>
                <w:highlight w:val="none"/>
              </w:rPr>
            </w:pPr>
            <w:r>
              <w:rPr>
                <w:rFonts w:hint="eastAsia" w:ascii="宋体" w:hAnsi="宋体"/>
                <w:color w:val="auto"/>
                <w:szCs w:val="21"/>
                <w:highlight w:val="none"/>
              </w:rPr>
              <w:t>（1）竞包人竞包截止时间在“浙江省交通运输信用管理与服务系统”中公开并按要求提供了公开查询结果网页截图的，得2分，否则不得分。</w:t>
            </w:r>
          </w:p>
          <w:p w14:paraId="28EB4212">
            <w:pPr>
              <w:pStyle w:val="14"/>
              <w:ind w:left="0" w:firstLine="0"/>
              <w:rPr>
                <w:rFonts w:ascii="宋体" w:hAnsi="宋体"/>
                <w:color w:val="auto"/>
                <w:szCs w:val="21"/>
                <w:highlight w:val="none"/>
              </w:rPr>
            </w:pPr>
            <w:r>
              <w:rPr>
                <w:rFonts w:hint="eastAsia" w:ascii="宋体" w:hAnsi="宋体"/>
                <w:color w:val="auto"/>
                <w:szCs w:val="21"/>
                <w:highlight w:val="none"/>
              </w:rPr>
              <w:t>（2）项目负责人的职称证书信息在“浙江省交通运输信用管理与服务系统”中公开并按要求提供了公开查询结果网页截图的，得2分，否则不得分。</w:t>
            </w:r>
          </w:p>
        </w:tc>
      </w:tr>
      <w:tr w14:paraId="02499A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228" w:hRule="atLeast"/>
        </w:trPr>
        <w:tc>
          <w:tcPr>
            <w:tcW w:w="1154" w:type="dxa"/>
            <w:vMerge w:val="continue"/>
            <w:vAlign w:val="center"/>
          </w:tcPr>
          <w:p w14:paraId="60CAFA68">
            <w:pPr>
              <w:pStyle w:val="14"/>
              <w:ind w:left="0" w:firstLine="0"/>
              <w:rPr>
                <w:rFonts w:ascii="宋体" w:hAnsi="宋体"/>
                <w:color w:val="auto"/>
                <w:szCs w:val="21"/>
                <w:highlight w:val="none"/>
              </w:rPr>
            </w:pPr>
          </w:p>
        </w:tc>
        <w:tc>
          <w:tcPr>
            <w:tcW w:w="405" w:type="dxa"/>
            <w:vMerge w:val="continue"/>
            <w:vAlign w:val="center"/>
          </w:tcPr>
          <w:p w14:paraId="3B99153E">
            <w:pPr>
              <w:pStyle w:val="14"/>
              <w:ind w:left="0" w:firstLine="0"/>
              <w:rPr>
                <w:rFonts w:ascii="宋体" w:hAnsi="宋体"/>
                <w:color w:val="auto"/>
                <w:szCs w:val="21"/>
                <w:highlight w:val="none"/>
              </w:rPr>
            </w:pPr>
          </w:p>
        </w:tc>
        <w:tc>
          <w:tcPr>
            <w:tcW w:w="885" w:type="dxa"/>
            <w:vMerge w:val="continue"/>
            <w:vAlign w:val="center"/>
          </w:tcPr>
          <w:p w14:paraId="762A0129">
            <w:pPr>
              <w:pStyle w:val="14"/>
              <w:ind w:left="0" w:firstLine="0"/>
              <w:rPr>
                <w:rFonts w:ascii="宋体" w:hAnsi="宋体"/>
                <w:color w:val="auto"/>
                <w:szCs w:val="21"/>
                <w:highlight w:val="none"/>
              </w:rPr>
            </w:pPr>
          </w:p>
        </w:tc>
        <w:tc>
          <w:tcPr>
            <w:tcW w:w="1230" w:type="dxa"/>
            <w:vMerge w:val="continue"/>
            <w:vAlign w:val="center"/>
          </w:tcPr>
          <w:p w14:paraId="7C80D032">
            <w:pPr>
              <w:pStyle w:val="14"/>
              <w:ind w:left="0" w:firstLine="0"/>
              <w:rPr>
                <w:rFonts w:ascii="宋体" w:hAnsi="宋体"/>
                <w:color w:val="auto"/>
                <w:szCs w:val="21"/>
                <w:highlight w:val="none"/>
              </w:rPr>
            </w:pPr>
          </w:p>
        </w:tc>
        <w:tc>
          <w:tcPr>
            <w:tcW w:w="1155" w:type="dxa"/>
            <w:vAlign w:val="center"/>
          </w:tcPr>
          <w:p w14:paraId="5B3C30CE">
            <w:pPr>
              <w:pStyle w:val="14"/>
              <w:ind w:left="0" w:firstLine="0"/>
              <w:rPr>
                <w:rFonts w:ascii="宋体" w:hAnsi="宋体"/>
                <w:color w:val="auto"/>
                <w:szCs w:val="21"/>
                <w:highlight w:val="none"/>
              </w:rPr>
            </w:pPr>
          </w:p>
          <w:p w14:paraId="0FE8E553">
            <w:pPr>
              <w:pStyle w:val="14"/>
              <w:ind w:left="0" w:firstLine="0"/>
              <w:rPr>
                <w:rFonts w:ascii="宋体" w:hAnsi="宋体"/>
                <w:color w:val="auto"/>
                <w:szCs w:val="21"/>
                <w:highlight w:val="none"/>
              </w:rPr>
            </w:pPr>
            <w:r>
              <w:rPr>
                <w:rFonts w:hint="eastAsia" w:ascii="宋体" w:hAnsi="宋体"/>
                <w:color w:val="auto"/>
                <w:szCs w:val="21"/>
                <w:highlight w:val="none"/>
              </w:rPr>
              <w:t>不良信誉扣分</w:t>
            </w:r>
          </w:p>
        </w:tc>
        <w:tc>
          <w:tcPr>
            <w:tcW w:w="1005" w:type="dxa"/>
            <w:vAlign w:val="center"/>
          </w:tcPr>
          <w:p w14:paraId="193AB050">
            <w:pPr>
              <w:pStyle w:val="14"/>
              <w:ind w:left="0" w:firstLine="0"/>
              <w:rPr>
                <w:rFonts w:ascii="宋体" w:hAnsi="宋体"/>
                <w:color w:val="auto"/>
                <w:szCs w:val="21"/>
                <w:highlight w:val="none"/>
              </w:rPr>
            </w:pPr>
          </w:p>
          <w:p w14:paraId="1CEB909F">
            <w:pPr>
              <w:pStyle w:val="14"/>
              <w:ind w:left="0" w:firstLine="0"/>
              <w:rPr>
                <w:rFonts w:ascii="宋体" w:hAnsi="宋体"/>
                <w:color w:val="auto"/>
                <w:szCs w:val="21"/>
                <w:highlight w:val="none"/>
              </w:rPr>
            </w:pPr>
            <w:r>
              <w:rPr>
                <w:rFonts w:hint="eastAsia" w:ascii="宋体" w:hAnsi="宋体"/>
                <w:color w:val="auto"/>
                <w:szCs w:val="21"/>
                <w:highlight w:val="none"/>
              </w:rPr>
              <w:t>-4～0分</w:t>
            </w:r>
          </w:p>
        </w:tc>
        <w:tc>
          <w:tcPr>
            <w:tcW w:w="3664" w:type="dxa"/>
            <w:vAlign w:val="center"/>
          </w:tcPr>
          <w:p w14:paraId="6AEC362C">
            <w:pPr>
              <w:pStyle w:val="14"/>
              <w:ind w:left="0" w:firstLine="0"/>
              <w:rPr>
                <w:rFonts w:ascii="宋体" w:hAnsi="宋体"/>
                <w:color w:val="auto"/>
                <w:szCs w:val="21"/>
                <w:highlight w:val="none"/>
              </w:rPr>
            </w:pPr>
            <w:r>
              <w:rPr>
                <w:rFonts w:hint="eastAsia" w:ascii="宋体" w:hAnsi="宋体"/>
                <w:color w:val="auto"/>
                <w:szCs w:val="21"/>
                <w:highlight w:val="none"/>
              </w:rPr>
              <w:t>（1）近一年（自2025年1月1日以来），被交通运输部、浙江省交通运输厅、浙江省发展和改革委员会三部门以外的省级及以上单位（部门）书面通报限制竞包，并在处罚期内的，如实填报的扣1分，隐瞒不报的一经查实，作否决竞包处理，并视为竞包人提供虚假资料，按竞包人须知第3.5.9项处理。</w:t>
            </w:r>
          </w:p>
          <w:p w14:paraId="38810B6B">
            <w:pPr>
              <w:pStyle w:val="14"/>
              <w:ind w:left="0" w:firstLine="0"/>
              <w:rPr>
                <w:rFonts w:ascii="宋体" w:hAnsi="宋体"/>
                <w:color w:val="auto"/>
                <w:szCs w:val="21"/>
                <w:highlight w:val="none"/>
              </w:rPr>
            </w:pPr>
            <w:r>
              <w:rPr>
                <w:rFonts w:hint="eastAsia" w:ascii="宋体" w:hAnsi="宋体"/>
                <w:color w:val="auto"/>
                <w:szCs w:val="21"/>
                <w:highlight w:val="none"/>
              </w:rPr>
              <w:t>（2）近三年（自2023年1月1日以来），竞包人或其法定代表人或拟委任的项目负责人在工程建设领域中，有行贿受贿行为未构成犯罪的，如实填报的扣1分，隐瞒不报的一经查实，作否决竞包处理，并视为竞包人提供虚假资料，按竞包人须知第3.5.9项处理。</w:t>
            </w:r>
          </w:p>
          <w:p w14:paraId="591CC67F">
            <w:pPr>
              <w:pStyle w:val="14"/>
              <w:ind w:left="0" w:firstLine="0"/>
              <w:rPr>
                <w:rFonts w:ascii="宋体" w:hAnsi="宋体"/>
                <w:color w:val="auto"/>
                <w:szCs w:val="21"/>
                <w:highlight w:val="none"/>
              </w:rPr>
            </w:pPr>
            <w:r>
              <w:rPr>
                <w:rFonts w:hint="eastAsia" w:ascii="宋体" w:hAnsi="宋体"/>
                <w:color w:val="auto"/>
                <w:szCs w:val="21"/>
                <w:highlight w:val="none"/>
              </w:rPr>
              <w:t>（3）近三年（自2023年1月1日以来），竞包人因公路工程（含附属设施）质量、安全问题等原因被交通运输部挂牌督办的，如实填报扣2分，被浙江省交通运输厅挂牌督办的，如实填报扣1分，隐瞒不报的一经查实，作否决竞包处理，并视为竞包人提供虚假资料，按竞包人须知第3.5.9项处理。</w:t>
            </w:r>
          </w:p>
        </w:tc>
      </w:tr>
      <w:tr w14:paraId="000BE7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2516" w:hRule="atLeast"/>
        </w:trPr>
        <w:tc>
          <w:tcPr>
            <w:tcW w:w="9498" w:type="dxa"/>
            <w:gridSpan w:val="7"/>
          </w:tcPr>
          <w:p w14:paraId="00F6B7F3">
            <w:pPr>
              <w:pStyle w:val="14"/>
              <w:ind w:left="0" w:firstLine="0"/>
              <w:rPr>
                <w:rFonts w:ascii="宋体" w:hAnsi="宋体"/>
                <w:color w:val="auto"/>
                <w:szCs w:val="21"/>
                <w:highlight w:val="none"/>
              </w:rPr>
            </w:pPr>
          </w:p>
          <w:p w14:paraId="2569156A">
            <w:pPr>
              <w:pStyle w:val="14"/>
              <w:ind w:left="0" w:firstLine="0"/>
              <w:rPr>
                <w:rFonts w:ascii="宋体" w:hAnsi="宋体"/>
                <w:color w:val="auto"/>
                <w:szCs w:val="21"/>
                <w:highlight w:val="none"/>
              </w:rPr>
            </w:pPr>
            <w:r>
              <w:rPr>
                <w:rFonts w:hint="eastAsia" w:ascii="宋体" w:hAnsi="宋体"/>
                <w:color w:val="auto"/>
                <w:szCs w:val="21"/>
                <w:highlight w:val="none"/>
              </w:rPr>
              <w:t>需要补充的其他内容：</w:t>
            </w:r>
          </w:p>
          <w:p w14:paraId="7E01843F">
            <w:pPr>
              <w:pStyle w:val="14"/>
              <w:ind w:left="0" w:firstLine="0"/>
              <w:rPr>
                <w:rFonts w:ascii="宋体" w:hAnsi="宋体"/>
                <w:color w:val="auto"/>
                <w:szCs w:val="21"/>
                <w:highlight w:val="none"/>
              </w:rPr>
            </w:pPr>
            <w:r>
              <w:rPr>
                <w:rFonts w:hint="eastAsia" w:ascii="宋体" w:hAnsi="宋体"/>
                <w:color w:val="auto"/>
                <w:szCs w:val="21"/>
                <w:highlight w:val="none"/>
              </w:rPr>
              <w:t>第3.4.5项细化为：</w:t>
            </w:r>
          </w:p>
          <w:p w14:paraId="67DCDDAD">
            <w:pPr>
              <w:pStyle w:val="14"/>
              <w:ind w:left="0" w:firstLine="0"/>
              <w:rPr>
                <w:rFonts w:ascii="宋体" w:hAnsi="宋体"/>
                <w:color w:val="auto"/>
                <w:szCs w:val="21"/>
                <w:highlight w:val="none"/>
              </w:rPr>
            </w:pPr>
            <w:r>
              <w:rPr>
                <w:rFonts w:hint="eastAsia" w:ascii="宋体" w:hAnsi="宋体"/>
                <w:color w:val="auto"/>
                <w:szCs w:val="21"/>
                <w:highlight w:val="none"/>
              </w:rPr>
              <w:t>评标委员会发现竞包人的报价明显低于其他竞包报价，建议评标委员会对竞包报价低于竞包控制价75%的竞包人进行询标，应当要求该竞包人作出说明并提供相应的证明材料。竞包人不能合理说明或者不能提供相应证明材料的，由评标委员会认定该竞包人以低于成本报价竞标，其竞包作否决竞包处理。</w:t>
            </w:r>
          </w:p>
          <w:p w14:paraId="13B4F5D2">
            <w:pPr>
              <w:pStyle w:val="14"/>
              <w:ind w:left="0" w:firstLine="0"/>
              <w:rPr>
                <w:rFonts w:ascii="宋体" w:hAnsi="宋体"/>
                <w:color w:val="auto"/>
                <w:szCs w:val="21"/>
                <w:highlight w:val="none"/>
              </w:rPr>
            </w:pPr>
          </w:p>
        </w:tc>
      </w:tr>
    </w:tbl>
    <w:p w14:paraId="7E45CB3F">
      <w:pPr>
        <w:pStyle w:val="63"/>
        <w:spacing w:line="360" w:lineRule="auto"/>
        <w:ind w:left="0" w:firstLine="0"/>
        <w:rPr>
          <w:rFonts w:ascii="黑体" w:hAnsi="黑体"/>
          <w:b w:val="0"/>
          <w:color w:val="auto"/>
          <w:highlight w:val="none"/>
        </w:rPr>
      </w:pPr>
      <w:r>
        <w:rPr>
          <w:rFonts w:hint="eastAsia" w:ascii="宋体" w:hAnsi="宋体"/>
          <w:color w:val="auto"/>
          <w:szCs w:val="21"/>
          <w:highlight w:val="none"/>
        </w:rPr>
        <w:br w:type="page"/>
      </w:r>
      <w:bookmarkStart w:id="565" w:name="_Toc11697"/>
      <w:bookmarkStart w:id="566" w:name="_Toc3173"/>
      <w:bookmarkStart w:id="567" w:name="_Toc26591"/>
      <w:bookmarkStart w:id="568" w:name="_Toc1952"/>
      <w:bookmarkStart w:id="569" w:name="_Toc27568"/>
      <w:bookmarkStart w:id="570" w:name="_Toc27906"/>
      <w:r>
        <w:rPr>
          <w:rFonts w:hint="eastAsia" w:ascii="黑体" w:hAnsi="黑体"/>
          <w:b w:val="0"/>
          <w:color w:val="auto"/>
          <w:highlight w:val="none"/>
        </w:rPr>
        <w:t>1.评标方法</w:t>
      </w:r>
      <w:bookmarkEnd w:id="565"/>
      <w:bookmarkEnd w:id="566"/>
      <w:bookmarkEnd w:id="567"/>
      <w:bookmarkEnd w:id="568"/>
      <w:bookmarkEnd w:id="569"/>
      <w:bookmarkEnd w:id="570"/>
    </w:p>
    <w:p w14:paraId="6AC90EE0">
      <w:pPr>
        <w:pStyle w:val="14"/>
        <w:ind w:left="0" w:firstLine="420" w:firstLineChars="200"/>
        <w:rPr>
          <w:rFonts w:ascii="宋体" w:hAnsi="宋体"/>
          <w:color w:val="auto"/>
          <w:szCs w:val="21"/>
          <w:highlight w:val="none"/>
        </w:rPr>
      </w:pPr>
      <w:r>
        <w:rPr>
          <w:rFonts w:hint="eastAsia" w:ascii="宋体" w:hAnsi="宋体"/>
          <w:color w:val="auto"/>
          <w:szCs w:val="21"/>
          <w:highlight w:val="none"/>
        </w:rPr>
        <w:t>本次评标采用综合评估法。评标委员会对满足发包文件实质性要求的竞包文件，按照本章第2.2款规定的评分标准进行打分，并按得分由高到低顺序推荐中包候选人，或根据发包人授权直接确定中包人，但竞包报价低于其成本的除外。综合得分相等时，</w:t>
      </w:r>
      <w:r>
        <w:rPr>
          <w:color w:val="auto"/>
          <w:szCs w:val="21"/>
          <w:highlight w:val="none"/>
        </w:rPr>
        <w:t>除评标办法前附表另有约定外，评标委员会</w:t>
      </w:r>
      <w:r>
        <w:rPr>
          <w:rFonts w:hint="eastAsia"/>
          <w:color w:val="auto"/>
          <w:szCs w:val="21"/>
          <w:highlight w:val="none"/>
        </w:rPr>
        <w:t>重点考虑以下因素</w:t>
      </w:r>
      <w:r>
        <w:rPr>
          <w:rFonts w:hint="eastAsia" w:ascii="宋体" w:hAnsi="宋体"/>
          <w:color w:val="auto"/>
          <w:szCs w:val="21"/>
          <w:highlight w:val="none"/>
        </w:rPr>
        <w:t>推荐中包候选人或确定中包人：</w:t>
      </w:r>
    </w:p>
    <w:p w14:paraId="2CAFB31B">
      <w:pPr>
        <w:pStyle w:val="14"/>
        <w:ind w:left="0" w:firstLine="420" w:firstLineChars="200"/>
        <w:rPr>
          <w:rFonts w:ascii="宋体" w:hAnsi="宋体"/>
          <w:color w:val="auto"/>
          <w:szCs w:val="21"/>
          <w:highlight w:val="none"/>
        </w:rPr>
      </w:pPr>
      <w:r>
        <w:rPr>
          <w:rFonts w:hint="eastAsia" w:ascii="宋体" w:hAnsi="宋体"/>
          <w:color w:val="auto"/>
          <w:szCs w:val="21"/>
          <w:highlight w:val="none"/>
        </w:rPr>
        <w:t>（1）评标价低的竞包人优先；</w:t>
      </w:r>
    </w:p>
    <w:p w14:paraId="76BC1506">
      <w:pPr>
        <w:pStyle w:val="14"/>
        <w:ind w:left="0" w:firstLine="420" w:firstLineChars="200"/>
        <w:rPr>
          <w:rFonts w:ascii="宋体" w:hAnsi="宋体"/>
          <w:color w:val="auto"/>
          <w:szCs w:val="21"/>
          <w:highlight w:val="none"/>
        </w:rPr>
      </w:pPr>
      <w:r>
        <w:rPr>
          <w:rFonts w:hint="eastAsia" w:ascii="宋体" w:hAnsi="宋体"/>
          <w:color w:val="auto"/>
          <w:szCs w:val="21"/>
          <w:highlight w:val="none"/>
        </w:rPr>
        <w:t>（2）被浙江省交通运输厅评为较高信用等级的竞包人优先（联合体竞包的，信用等级以承担设计任务的竞包人中信用等级较低的为准）；</w:t>
      </w:r>
    </w:p>
    <w:p w14:paraId="1E54978A">
      <w:pPr>
        <w:pStyle w:val="14"/>
        <w:ind w:left="0" w:firstLine="420" w:firstLineChars="200"/>
        <w:rPr>
          <w:rFonts w:ascii="宋体" w:hAnsi="宋体"/>
          <w:color w:val="auto"/>
          <w:szCs w:val="21"/>
          <w:highlight w:val="none"/>
        </w:rPr>
      </w:pPr>
      <w:r>
        <w:rPr>
          <w:rFonts w:hint="eastAsia" w:ascii="宋体" w:hAnsi="宋体"/>
          <w:color w:val="auto"/>
          <w:szCs w:val="21"/>
          <w:highlight w:val="none"/>
        </w:rPr>
        <w:t>（3）商务和技术得分较高的竞包人优先；</w:t>
      </w:r>
    </w:p>
    <w:p w14:paraId="6CA0CA69">
      <w:pPr>
        <w:pStyle w:val="14"/>
        <w:ind w:left="0" w:firstLine="420" w:firstLineChars="200"/>
        <w:rPr>
          <w:rFonts w:ascii="宋体" w:hAnsi="宋体"/>
          <w:color w:val="auto"/>
          <w:szCs w:val="21"/>
          <w:highlight w:val="none"/>
        </w:rPr>
      </w:pPr>
      <w:r>
        <w:rPr>
          <w:rFonts w:hint="eastAsia" w:ascii="宋体" w:hAnsi="宋体"/>
          <w:color w:val="auto"/>
          <w:szCs w:val="21"/>
          <w:highlight w:val="none"/>
        </w:rPr>
        <w:t>若同一个竞包人允许参加两个标段竞包且两个标段的综合得分均为第一名时，取其评标价高的标段作为推荐中包候选人，其它标段不再推荐。</w:t>
      </w:r>
    </w:p>
    <w:p w14:paraId="6F2BECF6">
      <w:pPr>
        <w:pStyle w:val="14"/>
        <w:ind w:left="0" w:firstLine="420" w:firstLineChars="200"/>
        <w:rPr>
          <w:rFonts w:ascii="宋体" w:hAnsi="宋体"/>
          <w:color w:val="auto"/>
          <w:szCs w:val="21"/>
          <w:highlight w:val="none"/>
        </w:rPr>
      </w:pPr>
      <w:r>
        <w:rPr>
          <w:rFonts w:hint="eastAsia" w:ascii="宋体" w:hAnsi="宋体"/>
          <w:color w:val="auto"/>
          <w:szCs w:val="21"/>
          <w:highlight w:val="none"/>
        </w:rPr>
        <w:t>凡评标委员会拟作出否决竞包决定的，应先向竞包人进行询问核实。未进行询问核实程序的，不得做出否决竞包决定（竞包人所留联系方式无法联系上、在限定时间内竞包人不参加询问核实或未出具答复意见的除外）。</w:t>
      </w:r>
    </w:p>
    <w:p w14:paraId="53D66305">
      <w:pPr>
        <w:pStyle w:val="14"/>
        <w:ind w:left="0" w:firstLine="420" w:firstLineChars="200"/>
        <w:rPr>
          <w:rFonts w:ascii="宋体" w:hAnsi="宋体"/>
          <w:color w:val="auto"/>
          <w:szCs w:val="21"/>
          <w:highlight w:val="none"/>
        </w:rPr>
      </w:pPr>
      <w:r>
        <w:rPr>
          <w:rFonts w:hint="eastAsia" w:ascii="宋体" w:hAnsi="宋体"/>
          <w:color w:val="auto"/>
          <w:szCs w:val="21"/>
          <w:highlight w:val="none"/>
        </w:rPr>
        <w:t xml:space="preserve"> “评标办法”中规定的否决竞包情形，由评标委员会审核并经过询问核实程序，其竞包文件作否决处理。除此之外发包文件中其他条款均不得作为否决竞包的依据。</w:t>
      </w:r>
    </w:p>
    <w:p w14:paraId="5AA57B59">
      <w:pPr>
        <w:pStyle w:val="14"/>
        <w:ind w:left="0" w:firstLine="420" w:firstLineChars="200"/>
        <w:rPr>
          <w:rFonts w:ascii="宋体" w:hAnsi="宋体"/>
          <w:color w:val="auto"/>
          <w:szCs w:val="21"/>
          <w:highlight w:val="none"/>
        </w:rPr>
      </w:pPr>
      <w:r>
        <w:rPr>
          <w:rFonts w:hint="eastAsia" w:ascii="宋体" w:hAnsi="宋体"/>
          <w:color w:val="auto"/>
          <w:szCs w:val="21"/>
          <w:highlight w:val="none"/>
        </w:rPr>
        <w:t>由于评标标准和方法前后内容不一致或者部分条款存在易引起歧义、模糊的文字，导致难以界定竞包文件偏差的性质，评标委员会应当按照有利于竞包人的原则进行处理。</w:t>
      </w:r>
    </w:p>
    <w:p w14:paraId="500D971B">
      <w:pPr>
        <w:pStyle w:val="14"/>
        <w:ind w:left="0" w:firstLine="420" w:firstLineChars="200"/>
        <w:rPr>
          <w:rFonts w:ascii="宋体" w:hAnsi="宋体"/>
          <w:color w:val="auto"/>
          <w:szCs w:val="21"/>
          <w:highlight w:val="none"/>
        </w:rPr>
      </w:pPr>
      <w:bookmarkStart w:id="571" w:name="_Hlk92738302"/>
      <w:r>
        <w:rPr>
          <w:rFonts w:hint="eastAsia" w:ascii="宋体" w:hAnsi="宋体"/>
          <w:color w:val="auto"/>
          <w:szCs w:val="21"/>
          <w:highlight w:val="none"/>
        </w:rPr>
        <w:t>评标委员会成员对需要共同认定的事项存在争议的，应当按照少数服从多数的原则作出结论。持不同意见的评标委员会成员应当在评标报告上以书面形式说明其不同意见和理由并签字确认。</w:t>
      </w:r>
      <w:bookmarkEnd w:id="571"/>
      <w:r>
        <w:rPr>
          <w:rFonts w:hint="eastAsia" w:ascii="宋体" w:hAnsi="宋体"/>
          <w:color w:val="auto"/>
          <w:szCs w:val="21"/>
          <w:highlight w:val="none"/>
        </w:rPr>
        <w:t>评标委员会成员拒绝在评标报告上签字又不书面说明其不同意见和理由的，视为同意评标结果。</w:t>
      </w:r>
    </w:p>
    <w:p w14:paraId="06050157">
      <w:pPr>
        <w:pStyle w:val="63"/>
        <w:spacing w:line="360" w:lineRule="auto"/>
        <w:ind w:left="0" w:firstLine="0"/>
        <w:rPr>
          <w:rFonts w:ascii="黑体" w:hAnsi="黑体"/>
          <w:b w:val="0"/>
          <w:color w:val="auto"/>
          <w:highlight w:val="none"/>
        </w:rPr>
      </w:pPr>
      <w:bookmarkStart w:id="572" w:name="_Toc20596"/>
      <w:bookmarkStart w:id="573" w:name="_Toc7239"/>
      <w:bookmarkStart w:id="574" w:name="_Toc16584"/>
      <w:bookmarkStart w:id="575" w:name="_Toc12261"/>
      <w:bookmarkStart w:id="576" w:name="_Toc15477"/>
      <w:bookmarkStart w:id="577" w:name="_Toc10781"/>
      <w:r>
        <w:rPr>
          <w:rFonts w:hint="eastAsia" w:ascii="黑体" w:hAnsi="黑体"/>
          <w:b w:val="0"/>
          <w:color w:val="auto"/>
          <w:highlight w:val="none"/>
        </w:rPr>
        <w:t>2.评审标准</w:t>
      </w:r>
      <w:bookmarkEnd w:id="572"/>
      <w:bookmarkEnd w:id="573"/>
      <w:bookmarkEnd w:id="574"/>
      <w:bookmarkEnd w:id="575"/>
      <w:bookmarkEnd w:id="576"/>
      <w:bookmarkEnd w:id="577"/>
    </w:p>
    <w:p w14:paraId="60F71601">
      <w:pPr>
        <w:pStyle w:val="68"/>
        <w:spacing w:line="360" w:lineRule="auto"/>
        <w:ind w:left="0" w:firstLine="0"/>
        <w:rPr>
          <w:rFonts w:ascii="宋体" w:hAnsi="宋体" w:eastAsia="宋体"/>
          <w:b/>
          <w:bCs/>
          <w:color w:val="auto"/>
          <w:sz w:val="21"/>
          <w:szCs w:val="21"/>
          <w:highlight w:val="none"/>
        </w:rPr>
      </w:pPr>
      <w:bookmarkStart w:id="578" w:name="_Toc6175"/>
      <w:bookmarkStart w:id="579" w:name="_Toc3251"/>
      <w:bookmarkStart w:id="580" w:name="_Toc11869"/>
      <w:bookmarkStart w:id="581" w:name="_Toc8746"/>
      <w:bookmarkStart w:id="582" w:name="_Toc2461"/>
      <w:bookmarkStart w:id="583" w:name="_Toc28773"/>
      <w:r>
        <w:rPr>
          <w:rFonts w:hint="eastAsia" w:ascii="宋体" w:hAnsi="宋体" w:eastAsia="宋体"/>
          <w:b/>
          <w:bCs/>
          <w:color w:val="auto"/>
          <w:sz w:val="21"/>
          <w:szCs w:val="21"/>
          <w:highlight w:val="none"/>
        </w:rPr>
        <w:t>2.1  初步评审标准</w:t>
      </w:r>
      <w:bookmarkEnd w:id="578"/>
      <w:bookmarkEnd w:id="579"/>
      <w:bookmarkEnd w:id="580"/>
      <w:bookmarkEnd w:id="581"/>
      <w:bookmarkEnd w:id="582"/>
      <w:bookmarkEnd w:id="583"/>
    </w:p>
    <w:p w14:paraId="6FBA5841">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2.1.1 形式评审标准：见评标办法前附表。</w:t>
      </w:r>
    </w:p>
    <w:p w14:paraId="01289333">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2.1.2 资格评审标准：见评标办法前附表。</w:t>
      </w:r>
    </w:p>
    <w:p w14:paraId="6DAE5086">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2.1.3 响应性评审标准：见评标办法前附表。</w:t>
      </w:r>
    </w:p>
    <w:p w14:paraId="50E88377">
      <w:pPr>
        <w:pStyle w:val="68"/>
        <w:spacing w:line="360" w:lineRule="auto"/>
        <w:ind w:left="0" w:firstLine="0"/>
        <w:rPr>
          <w:rFonts w:ascii="宋体" w:hAnsi="宋体" w:eastAsia="宋体"/>
          <w:b/>
          <w:bCs/>
          <w:color w:val="auto"/>
          <w:sz w:val="21"/>
          <w:szCs w:val="21"/>
          <w:highlight w:val="none"/>
        </w:rPr>
      </w:pPr>
      <w:bookmarkStart w:id="584" w:name="_Toc31662"/>
      <w:bookmarkStart w:id="585" w:name="_Toc21505"/>
      <w:bookmarkStart w:id="586" w:name="_Toc4120"/>
      <w:bookmarkStart w:id="587" w:name="_Toc6897"/>
      <w:bookmarkStart w:id="588" w:name="_Toc25967"/>
      <w:bookmarkStart w:id="589" w:name="_Toc17300"/>
      <w:r>
        <w:rPr>
          <w:rFonts w:hint="eastAsia" w:ascii="宋体" w:hAnsi="宋体" w:eastAsia="宋体"/>
          <w:b/>
          <w:bCs/>
          <w:color w:val="auto"/>
          <w:sz w:val="21"/>
          <w:szCs w:val="21"/>
          <w:highlight w:val="none"/>
        </w:rPr>
        <w:t>2.2  分值构成与评分标准</w:t>
      </w:r>
      <w:bookmarkEnd w:id="584"/>
      <w:bookmarkEnd w:id="585"/>
      <w:bookmarkEnd w:id="586"/>
      <w:bookmarkEnd w:id="587"/>
      <w:bookmarkEnd w:id="588"/>
      <w:bookmarkEnd w:id="589"/>
    </w:p>
    <w:p w14:paraId="410FDA39">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2.2.1 分值构成</w:t>
      </w:r>
    </w:p>
    <w:p w14:paraId="07145A2C">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（1）技术建议书：见评标办法前附表；</w:t>
      </w:r>
    </w:p>
    <w:p w14:paraId="4C4EEF4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（2）主要人员：见评标办法前附表；</w:t>
      </w:r>
    </w:p>
    <w:p w14:paraId="798EE888">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（3）评标价：见评标办法前附表；</w:t>
      </w:r>
    </w:p>
    <w:p w14:paraId="722B6519">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（4）其他评分因素：见评标办法前附表。</w:t>
      </w:r>
    </w:p>
    <w:p w14:paraId="00F4764B">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2.2.2 评标基准价计算</w:t>
      </w:r>
    </w:p>
    <w:p w14:paraId="17D9AC8C">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评标基准价计算方法：见评标办法前附表。</w:t>
      </w:r>
    </w:p>
    <w:p w14:paraId="437D9693">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2.2.3 评标价的偏差率计算</w:t>
      </w:r>
    </w:p>
    <w:p w14:paraId="78A7E09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评标价的偏差率计算公式：见评标办法前附表。</w:t>
      </w:r>
    </w:p>
    <w:p w14:paraId="2B9856A2">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2.2.4 评分标准</w:t>
      </w:r>
    </w:p>
    <w:p w14:paraId="1D733516">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（1）技术建议书评分标准：见评标办法前附表；</w:t>
      </w:r>
    </w:p>
    <w:p w14:paraId="3075F44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（2）主要人员评分标准：见评标办法前附表；</w:t>
      </w:r>
    </w:p>
    <w:p w14:paraId="5A7EFE8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（3）评标价评分标准：见评标办法前附表：</w:t>
      </w:r>
    </w:p>
    <w:p w14:paraId="21A30F7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（4）其他因素评分标准：见评标办法前附表。</w:t>
      </w:r>
    </w:p>
    <w:p w14:paraId="37A8463C">
      <w:pPr>
        <w:pStyle w:val="63"/>
        <w:spacing w:line="360" w:lineRule="auto"/>
        <w:ind w:left="0" w:firstLine="0"/>
        <w:rPr>
          <w:rFonts w:ascii="黑体" w:hAnsi="黑体"/>
          <w:b w:val="0"/>
          <w:color w:val="auto"/>
          <w:highlight w:val="none"/>
        </w:rPr>
      </w:pPr>
      <w:bookmarkStart w:id="590" w:name="_Toc2694"/>
      <w:bookmarkStart w:id="591" w:name="_Toc4164"/>
      <w:bookmarkStart w:id="592" w:name="_Toc23831"/>
      <w:bookmarkStart w:id="593" w:name="_Toc24806"/>
      <w:bookmarkStart w:id="594" w:name="_Toc28142"/>
      <w:bookmarkStart w:id="595" w:name="_Toc26040"/>
      <w:r>
        <w:rPr>
          <w:rFonts w:hint="eastAsia" w:ascii="黑体" w:hAnsi="黑体"/>
          <w:b w:val="0"/>
          <w:color w:val="auto"/>
          <w:highlight w:val="none"/>
        </w:rPr>
        <w:t>3.评标程序</w:t>
      </w:r>
      <w:bookmarkEnd w:id="590"/>
      <w:bookmarkEnd w:id="591"/>
      <w:bookmarkEnd w:id="592"/>
      <w:bookmarkEnd w:id="593"/>
      <w:bookmarkEnd w:id="594"/>
      <w:bookmarkEnd w:id="595"/>
    </w:p>
    <w:p w14:paraId="5E2796B1">
      <w:pPr>
        <w:pStyle w:val="68"/>
        <w:spacing w:line="360" w:lineRule="auto"/>
        <w:ind w:left="0" w:firstLine="0"/>
        <w:rPr>
          <w:rFonts w:ascii="宋体" w:hAnsi="宋体" w:eastAsia="宋体"/>
          <w:b/>
          <w:bCs/>
          <w:color w:val="auto"/>
          <w:sz w:val="21"/>
          <w:szCs w:val="21"/>
          <w:highlight w:val="none"/>
        </w:rPr>
      </w:pPr>
      <w:bookmarkStart w:id="596" w:name="_Toc9970"/>
      <w:bookmarkStart w:id="597" w:name="_Toc6599"/>
      <w:bookmarkStart w:id="598" w:name="_Toc2095"/>
      <w:bookmarkStart w:id="599" w:name="_Toc19029"/>
      <w:bookmarkStart w:id="600" w:name="_Toc28331"/>
      <w:bookmarkStart w:id="601" w:name="_Toc4312"/>
      <w:r>
        <w:rPr>
          <w:rFonts w:hint="eastAsia" w:ascii="宋体" w:hAnsi="宋体" w:eastAsia="宋体"/>
          <w:b/>
          <w:bCs/>
          <w:color w:val="auto"/>
          <w:sz w:val="21"/>
          <w:szCs w:val="21"/>
          <w:highlight w:val="none"/>
        </w:rPr>
        <w:t>3.1  第一个信封初步评审</w:t>
      </w:r>
      <w:bookmarkEnd w:id="596"/>
      <w:bookmarkEnd w:id="597"/>
      <w:bookmarkEnd w:id="598"/>
      <w:bookmarkEnd w:id="599"/>
      <w:bookmarkEnd w:id="600"/>
      <w:bookmarkEnd w:id="601"/>
    </w:p>
    <w:p w14:paraId="31C58CE9">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3.1.1 评标委员会依据本章第2.1款规定的标准对竞包文件第一个信封（商务及技术文件）进行初步评审。有一项不符合评审标准的，评标委员会应否决其竞包。</w:t>
      </w:r>
    </w:p>
    <w:p w14:paraId="1593BC8E">
      <w:pPr>
        <w:pStyle w:val="68"/>
        <w:spacing w:line="360" w:lineRule="auto"/>
        <w:ind w:left="0" w:firstLine="0"/>
        <w:rPr>
          <w:rFonts w:ascii="宋体" w:hAnsi="宋体" w:eastAsia="宋体"/>
          <w:b/>
          <w:bCs/>
          <w:color w:val="auto"/>
          <w:sz w:val="21"/>
          <w:szCs w:val="21"/>
          <w:highlight w:val="none"/>
        </w:rPr>
      </w:pPr>
      <w:bookmarkStart w:id="602" w:name="_Toc27842"/>
      <w:bookmarkStart w:id="603" w:name="_Toc8035"/>
      <w:bookmarkStart w:id="604" w:name="_Toc22130"/>
      <w:bookmarkStart w:id="605" w:name="_Toc22924"/>
      <w:bookmarkStart w:id="606" w:name="_Toc6882"/>
      <w:bookmarkStart w:id="607" w:name="_Toc12777"/>
      <w:r>
        <w:rPr>
          <w:rFonts w:hint="eastAsia" w:ascii="宋体" w:hAnsi="宋体" w:eastAsia="宋体"/>
          <w:b/>
          <w:bCs/>
          <w:color w:val="auto"/>
          <w:sz w:val="21"/>
          <w:szCs w:val="21"/>
          <w:highlight w:val="none"/>
        </w:rPr>
        <w:t>3.2  第一个信封详细评审</w:t>
      </w:r>
      <w:bookmarkEnd w:id="602"/>
      <w:bookmarkEnd w:id="603"/>
      <w:bookmarkEnd w:id="604"/>
      <w:bookmarkEnd w:id="605"/>
      <w:bookmarkEnd w:id="606"/>
      <w:bookmarkEnd w:id="607"/>
    </w:p>
    <w:p w14:paraId="2A9FADD5">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3.2.1 评标委员会按本章第2.2款规定的量化因素和分值进行打分，并计算出各竞包人的商务和技术得分。</w:t>
      </w:r>
    </w:p>
    <w:p w14:paraId="5E78EE64">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（1）按本章第2.2.4项（1）目规定的评审因素和分值对技术建议书部分计算出得分A；</w:t>
      </w:r>
    </w:p>
    <w:p w14:paraId="0EFC5805">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（2）按本章第2.2.4项（2）目规定的评审因素和分值对主要人员部分计算出得B；</w:t>
      </w:r>
    </w:p>
    <w:p w14:paraId="5A9D1B0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 xml:space="preserve">（3）按本章第2.2.4项（4）目规定的评审因素和分值对其他部分计算出得分D。 </w:t>
      </w:r>
    </w:p>
    <w:p w14:paraId="457FA52B">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3.2.2竞包人的商务和技术得分分值计算保留小数点后两位，小数点后第三位“四舍五入”。</w:t>
      </w:r>
    </w:p>
    <w:p w14:paraId="05F73B2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3.2.3竞包人的商务和技术得分＝A+B+D。</w:t>
      </w:r>
    </w:p>
    <w:p w14:paraId="77339F32">
      <w:pPr>
        <w:pStyle w:val="68"/>
        <w:spacing w:line="360" w:lineRule="auto"/>
        <w:ind w:left="0" w:firstLine="0"/>
        <w:rPr>
          <w:rFonts w:ascii="宋体" w:hAnsi="宋体" w:eastAsia="宋体"/>
          <w:b/>
          <w:bCs/>
          <w:color w:val="auto"/>
          <w:sz w:val="21"/>
          <w:szCs w:val="21"/>
          <w:highlight w:val="none"/>
        </w:rPr>
      </w:pPr>
      <w:bookmarkStart w:id="608" w:name="_Toc767"/>
      <w:bookmarkStart w:id="609" w:name="_Toc14691"/>
      <w:bookmarkStart w:id="610" w:name="_Toc15786"/>
      <w:bookmarkStart w:id="611" w:name="_Toc20457"/>
      <w:bookmarkStart w:id="612" w:name="_Toc9292"/>
      <w:bookmarkStart w:id="613" w:name="_Toc15747"/>
      <w:r>
        <w:rPr>
          <w:rFonts w:hint="eastAsia" w:ascii="宋体" w:hAnsi="宋体" w:eastAsia="宋体"/>
          <w:b/>
          <w:bCs/>
          <w:color w:val="auto"/>
          <w:sz w:val="21"/>
          <w:szCs w:val="21"/>
          <w:highlight w:val="none"/>
        </w:rPr>
        <w:t>3.3  第二个信封开标</w:t>
      </w:r>
      <w:bookmarkEnd w:id="608"/>
      <w:bookmarkEnd w:id="609"/>
      <w:bookmarkEnd w:id="610"/>
      <w:bookmarkEnd w:id="611"/>
      <w:bookmarkEnd w:id="612"/>
      <w:bookmarkEnd w:id="613"/>
    </w:p>
    <w:p w14:paraId="1CFA16C4">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第一个信封（商务及技术文件）评审结束后，发包人将按照第二章“竞包人须知”第 5.1款规定的时间和地点对竞包文件第二个信封（报价文件）进行开标。</w:t>
      </w:r>
    </w:p>
    <w:p w14:paraId="3FD504A2">
      <w:pPr>
        <w:pStyle w:val="68"/>
        <w:spacing w:line="360" w:lineRule="auto"/>
        <w:ind w:left="0" w:firstLine="0"/>
        <w:rPr>
          <w:rFonts w:ascii="宋体" w:hAnsi="宋体" w:eastAsia="宋体"/>
          <w:b/>
          <w:bCs/>
          <w:color w:val="auto"/>
          <w:sz w:val="21"/>
          <w:szCs w:val="21"/>
          <w:highlight w:val="none"/>
        </w:rPr>
      </w:pPr>
      <w:bookmarkStart w:id="614" w:name="_Toc11664"/>
      <w:bookmarkStart w:id="615" w:name="_Toc26785"/>
      <w:bookmarkStart w:id="616" w:name="_Toc32005"/>
      <w:bookmarkStart w:id="617" w:name="_Toc21748"/>
      <w:bookmarkStart w:id="618" w:name="_Toc30351"/>
      <w:bookmarkStart w:id="619" w:name="_Toc20941"/>
      <w:r>
        <w:rPr>
          <w:rFonts w:hint="eastAsia" w:ascii="宋体" w:hAnsi="宋体" w:eastAsia="宋体"/>
          <w:b/>
          <w:bCs/>
          <w:color w:val="auto"/>
          <w:sz w:val="21"/>
          <w:szCs w:val="21"/>
          <w:highlight w:val="none"/>
        </w:rPr>
        <w:t>3.4  第二个信封初步评审</w:t>
      </w:r>
      <w:bookmarkEnd w:id="614"/>
      <w:bookmarkEnd w:id="615"/>
      <w:bookmarkEnd w:id="616"/>
      <w:bookmarkEnd w:id="617"/>
      <w:bookmarkEnd w:id="618"/>
      <w:bookmarkEnd w:id="619"/>
    </w:p>
    <w:p w14:paraId="108409A1">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3.4.1 评标委员会依据本章第2.1.1项、第2.1.3项规定的评审标准对竞包文件第二个信封（报价文件）进行初步评审。有一项不符合评审标准的，评标委员会应否决其竞包。</w:t>
      </w:r>
    </w:p>
    <w:p w14:paraId="1418B5FA">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3.4.2 竞包报价有算术错误的，评标委员会按以下原则对竞包报价进行修正，修正的价格经竞包人书面确认后具有约束力。竞包人不接受修正价格的，评标委员会应否决其竞包。</w:t>
      </w:r>
    </w:p>
    <w:p w14:paraId="30316E4C">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（1）竞包文件中的大写金额与小写金额不一致的，以大写金额为准；</w:t>
      </w:r>
    </w:p>
    <w:p w14:paraId="621E92C2">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（2）总价金额与依据单价计算出的结果不一致的，以单价金额为准修正总价，但单价金额小数点有明显错误的除外；</w:t>
      </w:r>
    </w:p>
    <w:p w14:paraId="7DE8914F">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（3）当单价与数量相乘不等于合价时，以单价计算为准，如果单价有明显的小数点位置差错，应以标出的合价为准，同时对单价予以修正；</w:t>
      </w:r>
    </w:p>
    <w:p w14:paraId="0AABFD2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（4）当各子目的合价累计不等于总价时，应以各子目合价累计数为准，修正总价。</w:t>
      </w:r>
    </w:p>
    <w:p w14:paraId="18C18F6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3.4.3 修正后的最终竞包报价若超过最高竞包限价（如有），评标委员会应否决其竞包。</w:t>
      </w:r>
    </w:p>
    <w:p w14:paraId="798CD1C0">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3.4.4 修正后的最终竞包报价仅作为签到合同的一个依据，不参与评标价得分的计算。</w:t>
      </w:r>
    </w:p>
    <w:p w14:paraId="35523439">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3.4.5 评标委员会发现竞包人的报价明显低于其他竞包报价，使得其竞包报价可能低于其个别成本的，应要求该竞包人作出书面说明并提供相应的证明材料。竞包人不能合理说明或不能提供相应证明材料的，评标委员会应认定该竞包人以低于成本报价竞标，并否决其竞包。</w:t>
      </w:r>
    </w:p>
    <w:p w14:paraId="21886AA3">
      <w:pPr>
        <w:pStyle w:val="68"/>
        <w:spacing w:line="360" w:lineRule="auto"/>
        <w:ind w:left="0" w:firstLine="0"/>
        <w:rPr>
          <w:rFonts w:ascii="宋体" w:hAnsi="宋体" w:eastAsia="宋体"/>
          <w:b/>
          <w:bCs/>
          <w:color w:val="auto"/>
          <w:sz w:val="21"/>
          <w:szCs w:val="21"/>
          <w:highlight w:val="none"/>
        </w:rPr>
      </w:pPr>
      <w:bookmarkStart w:id="620" w:name="_Toc5551"/>
      <w:bookmarkStart w:id="621" w:name="_Toc6500"/>
      <w:bookmarkStart w:id="622" w:name="_Toc18978"/>
      <w:bookmarkStart w:id="623" w:name="_Toc17240"/>
      <w:bookmarkStart w:id="624" w:name="_Toc23616"/>
      <w:bookmarkStart w:id="625" w:name="_Toc18831"/>
      <w:r>
        <w:rPr>
          <w:rFonts w:hint="eastAsia" w:ascii="宋体" w:hAnsi="宋体" w:eastAsia="宋体"/>
          <w:b/>
          <w:bCs/>
          <w:color w:val="auto"/>
          <w:sz w:val="21"/>
          <w:szCs w:val="21"/>
          <w:highlight w:val="none"/>
        </w:rPr>
        <w:t>3.5  第二个信封详细评审</w:t>
      </w:r>
      <w:bookmarkEnd w:id="620"/>
      <w:bookmarkEnd w:id="621"/>
      <w:bookmarkEnd w:id="622"/>
      <w:bookmarkEnd w:id="623"/>
      <w:bookmarkEnd w:id="624"/>
      <w:bookmarkEnd w:id="625"/>
    </w:p>
    <w:p w14:paraId="5E2403B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3.5.1 评标委员会按本章第2.2.4项（3）目规定的评审因素和分值对评标价计算出得分C。评标价得分分值计算保留小数点后两位，小数点后第三位“四舍五入”。</w:t>
      </w:r>
    </w:p>
    <w:p w14:paraId="01E0FCB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3.5.2 竞包人综合得分=竞包人的商务和技术得分+C。</w:t>
      </w:r>
    </w:p>
    <w:p w14:paraId="711347DC">
      <w:pPr>
        <w:pStyle w:val="68"/>
        <w:spacing w:line="360" w:lineRule="auto"/>
        <w:ind w:left="0" w:firstLine="0"/>
        <w:rPr>
          <w:rFonts w:ascii="宋体" w:hAnsi="宋体" w:eastAsia="宋体"/>
          <w:b/>
          <w:bCs/>
          <w:color w:val="auto"/>
          <w:sz w:val="21"/>
          <w:szCs w:val="21"/>
          <w:highlight w:val="none"/>
        </w:rPr>
      </w:pPr>
      <w:bookmarkStart w:id="626" w:name="_Toc26161"/>
      <w:bookmarkStart w:id="627" w:name="_Toc12583"/>
      <w:bookmarkStart w:id="628" w:name="_Toc29559"/>
      <w:bookmarkStart w:id="629" w:name="_Toc23688"/>
      <w:bookmarkStart w:id="630" w:name="_Toc19225"/>
      <w:bookmarkStart w:id="631" w:name="_Toc17004"/>
      <w:r>
        <w:rPr>
          <w:rFonts w:hint="eastAsia" w:ascii="宋体" w:hAnsi="宋体" w:eastAsia="宋体"/>
          <w:b/>
          <w:bCs/>
          <w:color w:val="auto"/>
          <w:sz w:val="21"/>
          <w:szCs w:val="21"/>
          <w:highlight w:val="none"/>
        </w:rPr>
        <w:t>3.6  竞包文件相关信息的核查</w:t>
      </w:r>
      <w:bookmarkEnd w:id="626"/>
      <w:bookmarkEnd w:id="627"/>
      <w:bookmarkEnd w:id="628"/>
      <w:bookmarkEnd w:id="629"/>
      <w:bookmarkEnd w:id="630"/>
      <w:bookmarkEnd w:id="631"/>
    </w:p>
    <w:p w14:paraId="4C10791B">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3.6.1 在评标过程中，评标委员会应查询“浙江省交通运输信用管理与服务系统”，对竞包人的资质、业绩、主要人员资历和目前在岗情况、信用等级等信息进行核实。若竞包文件载明的信息与“浙江省交通运输信用管理与服务系统”发布的信息不符，使得竞包人的资格条件不符合发包文件规定的，评标委员会应否决其竞包。</w:t>
      </w:r>
    </w:p>
    <w:p w14:paraId="5B2DB266">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3.6.2 评标委员会应对在评标过程中发现的竞包人与竞包人之间、竞包人与发包人之间存在的串通竞包的情形进行评审和认定。竞包人存在串通竞包、弄虚作假、行贿等违法行为的，评标委员会应否决其竞包。</w:t>
      </w:r>
    </w:p>
    <w:p w14:paraId="0C648012">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（1）有下列情形之一的，属于竞包人相互串通竞包：</w:t>
      </w:r>
    </w:p>
    <w:p w14:paraId="5DF45D8F">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a.竞包人之间协商竞包报价等竞包文件的实质性内容；</w:t>
      </w:r>
    </w:p>
    <w:p w14:paraId="5B0174B4">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b.竞包人之间约定中包人；</w:t>
      </w:r>
    </w:p>
    <w:p w14:paraId="6A09B36F">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c.竞包人之间约定部分竞包人放弃竞包或中包；</w:t>
      </w:r>
    </w:p>
    <w:p w14:paraId="6B14D87F">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d.属于同一集团、协会、商会等组织成员的竞包人按照该组织要求协同竞包；</w:t>
      </w:r>
    </w:p>
    <w:p w14:paraId="00F8F685">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e.竞包人之间为谋取中包或排斥特定竞包人而采取的其他联合行动。</w:t>
      </w:r>
    </w:p>
    <w:p w14:paraId="58508AC4">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（2）有下列情形之一的，视为竞包人相互串通竞包：</w:t>
      </w:r>
    </w:p>
    <w:p w14:paraId="7757794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a.不同竞包人的竞包文件由同一单位或个人编制；</w:t>
      </w:r>
    </w:p>
    <w:p w14:paraId="526E1BCF">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b.不同竞包人委托同一单位或个人办理竞包事宜；</w:t>
      </w:r>
      <w:r>
        <w:rPr>
          <w:rFonts w:hint="eastAsia" w:ascii="宋体" w:hAnsi="宋体" w:cs="宋体"/>
          <w:color w:val="auto"/>
          <w:szCs w:val="21"/>
          <w:highlight w:val="none"/>
        </w:rPr>
        <w:br w:type="textWrapping"/>
      </w:r>
      <w:r>
        <w:rPr>
          <w:rFonts w:hint="eastAsia" w:ascii="宋体" w:hAnsi="宋体" w:cs="宋体"/>
          <w:color w:val="auto"/>
          <w:szCs w:val="21"/>
          <w:highlight w:val="none"/>
        </w:rPr>
        <w:t>  c.不同竞包人的竞包文件载明的项目管理成员为同一人；</w:t>
      </w:r>
      <w:r>
        <w:rPr>
          <w:rFonts w:hint="eastAsia" w:ascii="宋体" w:hAnsi="宋体" w:cs="宋体"/>
          <w:color w:val="auto"/>
          <w:szCs w:val="21"/>
          <w:highlight w:val="none"/>
        </w:rPr>
        <w:br w:type="textWrapping"/>
      </w:r>
      <w:r>
        <w:rPr>
          <w:rFonts w:hint="eastAsia" w:ascii="宋体" w:hAnsi="宋体" w:cs="宋体"/>
          <w:color w:val="auto"/>
          <w:szCs w:val="21"/>
          <w:highlight w:val="none"/>
        </w:rPr>
        <w:t>  d.不同竞包人的竞包文件异常一致或竞包报价呈规律性差异；</w:t>
      </w:r>
      <w:r>
        <w:rPr>
          <w:rFonts w:hint="eastAsia" w:ascii="宋体" w:hAnsi="宋体" w:cs="宋体"/>
          <w:color w:val="auto"/>
          <w:szCs w:val="21"/>
          <w:highlight w:val="none"/>
        </w:rPr>
        <w:br w:type="textWrapping"/>
      </w:r>
      <w:r>
        <w:rPr>
          <w:rFonts w:hint="eastAsia" w:ascii="宋体" w:hAnsi="宋体" w:cs="宋体"/>
          <w:color w:val="auto"/>
          <w:szCs w:val="21"/>
          <w:highlight w:val="none"/>
        </w:rPr>
        <w:t>  e.不同竞包人的竞包文件相互混装；</w:t>
      </w:r>
      <w:r>
        <w:rPr>
          <w:rFonts w:hint="eastAsia" w:ascii="宋体" w:hAnsi="宋体" w:cs="宋体"/>
          <w:color w:val="auto"/>
          <w:szCs w:val="21"/>
          <w:highlight w:val="none"/>
        </w:rPr>
        <w:br w:type="textWrapping"/>
      </w:r>
      <w:r>
        <w:rPr>
          <w:rFonts w:hint="eastAsia" w:ascii="宋体" w:hAnsi="宋体" w:cs="宋体"/>
          <w:color w:val="auto"/>
          <w:szCs w:val="21"/>
          <w:highlight w:val="none"/>
        </w:rPr>
        <w:t>  f.不同竞包人的竞包保证金从同一单位或个人的账户转出。</w:t>
      </w:r>
    </w:p>
    <w:p w14:paraId="51A51544">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(3）有下列情形之一的，属于发包人与竞包人串通竞包：</w:t>
      </w:r>
    </w:p>
    <w:p w14:paraId="0202987A">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a.发包人在开标前开启竞包文件并将有关信息泄露给其他竞包人；</w:t>
      </w:r>
    </w:p>
    <w:p w14:paraId="573D59BC">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b.发包人直接或间接向竞包人泄露标底、评标委员会成员等信息；</w:t>
      </w:r>
    </w:p>
    <w:p w14:paraId="141D90FA">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c.发包人明示或暗示竞包人压低或抬高竞包报价；</w:t>
      </w:r>
    </w:p>
    <w:p w14:paraId="0D8D58FC">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d.发包人授意竞包人撤换、修改竞包文件；</w:t>
      </w:r>
    </w:p>
    <w:p w14:paraId="3C3103F2">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e.发包人明示或暗示竞包人为特定竞包人中包提供方便；</w:t>
      </w:r>
    </w:p>
    <w:p w14:paraId="4235EAD6">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f.发包人与竞包人为谋求特定竞包人中包而采取的其他串通行为。</w:t>
      </w:r>
    </w:p>
    <w:p w14:paraId="713E81CD">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（4）竞包人有下列情形之一的，属于弄虚作假的行为：</w:t>
      </w:r>
      <w:r>
        <w:rPr>
          <w:rFonts w:hint="eastAsia" w:ascii="宋体" w:hAnsi="宋体" w:cs="宋体"/>
          <w:color w:val="auto"/>
          <w:szCs w:val="21"/>
          <w:highlight w:val="none"/>
        </w:rPr>
        <w:br w:type="textWrapping"/>
      </w:r>
      <w:r>
        <w:rPr>
          <w:rFonts w:hint="eastAsia" w:ascii="宋体" w:hAnsi="宋体" w:cs="宋体"/>
          <w:color w:val="auto"/>
          <w:szCs w:val="21"/>
          <w:highlight w:val="none"/>
        </w:rPr>
        <w:t>  a.使用通过受让或租借等方式获取的资格、资质证书竞包；</w:t>
      </w:r>
    </w:p>
    <w:p w14:paraId="48E9556A">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b.使用伪造、变造的许可证件；</w:t>
      </w:r>
      <w:r>
        <w:rPr>
          <w:rFonts w:hint="eastAsia" w:ascii="宋体" w:hAnsi="宋体" w:cs="宋体"/>
          <w:color w:val="auto"/>
          <w:szCs w:val="21"/>
          <w:highlight w:val="none"/>
        </w:rPr>
        <w:br w:type="textWrapping"/>
      </w:r>
      <w:r>
        <w:rPr>
          <w:rFonts w:hint="eastAsia" w:ascii="宋体" w:hAnsi="宋体" w:cs="宋体"/>
          <w:color w:val="auto"/>
          <w:szCs w:val="21"/>
          <w:highlight w:val="none"/>
        </w:rPr>
        <w:t>  c.提供虚假的业绩；</w:t>
      </w:r>
      <w:r>
        <w:rPr>
          <w:rFonts w:hint="eastAsia" w:ascii="宋体" w:hAnsi="宋体" w:cs="宋体"/>
          <w:color w:val="auto"/>
          <w:szCs w:val="21"/>
          <w:highlight w:val="none"/>
        </w:rPr>
        <w:br w:type="textWrapping"/>
      </w:r>
      <w:r>
        <w:rPr>
          <w:rFonts w:hint="eastAsia" w:ascii="宋体" w:hAnsi="宋体" w:cs="宋体"/>
          <w:color w:val="auto"/>
          <w:szCs w:val="21"/>
          <w:highlight w:val="none"/>
        </w:rPr>
        <w:t>  d.提供虚假的项目负责人或主要技术人员简历、劳动关系证明；</w:t>
      </w:r>
      <w:r>
        <w:rPr>
          <w:rFonts w:hint="eastAsia" w:ascii="宋体" w:hAnsi="宋体" w:cs="宋体"/>
          <w:color w:val="auto"/>
          <w:szCs w:val="21"/>
          <w:highlight w:val="none"/>
        </w:rPr>
        <w:br w:type="textWrapping"/>
      </w:r>
      <w:r>
        <w:rPr>
          <w:rFonts w:hint="eastAsia" w:ascii="宋体" w:hAnsi="宋体" w:cs="宋体"/>
          <w:color w:val="auto"/>
          <w:szCs w:val="21"/>
          <w:highlight w:val="none"/>
        </w:rPr>
        <w:t>  e.提供虚假的信用状况；</w:t>
      </w:r>
      <w:r>
        <w:rPr>
          <w:rFonts w:hint="eastAsia" w:ascii="宋体" w:hAnsi="宋体" w:cs="宋体"/>
          <w:color w:val="auto"/>
          <w:szCs w:val="21"/>
          <w:highlight w:val="none"/>
        </w:rPr>
        <w:br w:type="textWrapping"/>
      </w:r>
      <w:r>
        <w:rPr>
          <w:rFonts w:hint="eastAsia" w:ascii="宋体" w:hAnsi="宋体" w:cs="宋体"/>
          <w:color w:val="auto"/>
          <w:szCs w:val="21"/>
          <w:highlight w:val="none"/>
        </w:rPr>
        <w:t>  f.其他弄虚作假的行为。</w:t>
      </w:r>
    </w:p>
    <w:p w14:paraId="59732521">
      <w:pPr>
        <w:pStyle w:val="68"/>
        <w:spacing w:line="360" w:lineRule="auto"/>
        <w:ind w:left="0" w:firstLine="0"/>
        <w:rPr>
          <w:rFonts w:ascii="宋体" w:hAnsi="宋体" w:eastAsia="宋体"/>
          <w:b/>
          <w:bCs/>
          <w:color w:val="auto"/>
          <w:sz w:val="21"/>
          <w:szCs w:val="21"/>
          <w:highlight w:val="none"/>
        </w:rPr>
      </w:pPr>
      <w:bookmarkStart w:id="632" w:name="_Toc23444"/>
      <w:bookmarkStart w:id="633" w:name="_Toc31696"/>
      <w:bookmarkStart w:id="634" w:name="_Toc5528"/>
      <w:bookmarkStart w:id="635" w:name="_Toc27956"/>
      <w:bookmarkStart w:id="636" w:name="_Toc4836"/>
      <w:bookmarkStart w:id="637" w:name="_Toc7966"/>
      <w:r>
        <w:rPr>
          <w:rFonts w:hint="eastAsia" w:ascii="宋体" w:hAnsi="宋体" w:eastAsia="宋体"/>
          <w:b/>
          <w:bCs/>
          <w:color w:val="auto"/>
          <w:sz w:val="21"/>
          <w:szCs w:val="21"/>
          <w:highlight w:val="none"/>
        </w:rPr>
        <w:t>3.7  竞包文件的澄清和说明</w:t>
      </w:r>
      <w:bookmarkEnd w:id="632"/>
      <w:bookmarkEnd w:id="633"/>
      <w:bookmarkEnd w:id="634"/>
      <w:bookmarkEnd w:id="635"/>
      <w:bookmarkEnd w:id="636"/>
      <w:bookmarkEnd w:id="637"/>
    </w:p>
    <w:p w14:paraId="54ADDDD7">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3.7.1 在评标过程中，评标委员会可以书面形式要求竞包人对竞包文件中含义不明确的内容、 明显文字或计算错误进行书面澄清或说明。评标委员会不接受竞包人主动提出的澄清、说明。竞包人不按评标委员会要求澄清或说明的，评标委员会应否决其竞包。</w:t>
      </w:r>
    </w:p>
    <w:p w14:paraId="78ED59DB">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3.7.2 澄清和说明不得超出竞包文件的范围或改变竞包文件的实质性内容（算术性错误的修正除外）。竞包人的书面澄清、说明属于竞包文件的组成部分。</w:t>
      </w:r>
    </w:p>
    <w:p w14:paraId="4EF6BE61">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3.7.3 评标委员会不得暗示或诱导竞包人作出澄清、说明，对竞包人提交的澄清、说明有疑问的，可以要求竞包人进一步澄清或说明，直至满足评标委员会的要求。</w:t>
      </w:r>
    </w:p>
    <w:p w14:paraId="0496DA6A">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3.7.4 凡超出发包文件规定的或给发包人带来未曾要求的利益的变化、偏差或其他因素在评标时不予考虑。</w:t>
      </w:r>
    </w:p>
    <w:p w14:paraId="25E0F877">
      <w:pPr>
        <w:pStyle w:val="68"/>
        <w:spacing w:line="360" w:lineRule="auto"/>
        <w:ind w:left="0" w:firstLine="0"/>
        <w:rPr>
          <w:rFonts w:ascii="宋体" w:hAnsi="宋体" w:eastAsia="宋体"/>
          <w:b/>
          <w:bCs/>
          <w:color w:val="auto"/>
          <w:sz w:val="21"/>
          <w:szCs w:val="21"/>
          <w:highlight w:val="none"/>
        </w:rPr>
      </w:pPr>
      <w:bookmarkStart w:id="638" w:name="_Toc29971"/>
      <w:bookmarkStart w:id="639" w:name="_Toc10324"/>
      <w:bookmarkStart w:id="640" w:name="_Toc13252"/>
      <w:bookmarkStart w:id="641" w:name="_Toc4943"/>
      <w:bookmarkStart w:id="642" w:name="_Toc25531"/>
      <w:bookmarkStart w:id="643" w:name="_Toc15586"/>
      <w:r>
        <w:rPr>
          <w:rFonts w:hint="eastAsia" w:ascii="宋体" w:hAnsi="宋体" w:eastAsia="宋体"/>
          <w:b/>
          <w:bCs/>
          <w:color w:val="auto"/>
          <w:sz w:val="21"/>
          <w:szCs w:val="21"/>
          <w:highlight w:val="none"/>
        </w:rPr>
        <w:t>3.8  不得否决竞包的情形</w:t>
      </w:r>
      <w:bookmarkEnd w:id="638"/>
      <w:bookmarkEnd w:id="639"/>
      <w:bookmarkEnd w:id="640"/>
      <w:bookmarkEnd w:id="641"/>
      <w:bookmarkEnd w:id="642"/>
      <w:bookmarkEnd w:id="643"/>
    </w:p>
    <w:p w14:paraId="36CCCF40">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竞包文件存在第二章“竞包人须知”第1.12.3项所列情形的，均视为细微偏差，评标委员会不得否决竞包人的竞包，应按照第二章“竞包人须知”第1.12.4项规定的原则处理。</w:t>
      </w:r>
    </w:p>
    <w:p w14:paraId="702FD85C">
      <w:pPr>
        <w:pStyle w:val="68"/>
        <w:spacing w:line="360" w:lineRule="auto"/>
        <w:ind w:left="0" w:firstLine="0"/>
        <w:rPr>
          <w:rFonts w:ascii="宋体" w:hAnsi="宋体" w:eastAsia="宋体"/>
          <w:b/>
          <w:bCs/>
          <w:color w:val="auto"/>
          <w:sz w:val="21"/>
          <w:szCs w:val="21"/>
          <w:highlight w:val="none"/>
        </w:rPr>
      </w:pPr>
      <w:bookmarkStart w:id="644" w:name="_Toc31464"/>
      <w:bookmarkStart w:id="645" w:name="_Toc5341"/>
      <w:bookmarkStart w:id="646" w:name="_Toc10919"/>
      <w:bookmarkStart w:id="647" w:name="_Toc22766"/>
      <w:bookmarkStart w:id="648" w:name="_Toc10310"/>
      <w:bookmarkStart w:id="649" w:name="_Toc3726"/>
      <w:r>
        <w:rPr>
          <w:rFonts w:hint="eastAsia" w:ascii="宋体" w:hAnsi="宋体" w:eastAsia="宋体"/>
          <w:b/>
          <w:bCs/>
          <w:color w:val="auto"/>
          <w:sz w:val="21"/>
          <w:szCs w:val="21"/>
          <w:highlight w:val="none"/>
        </w:rPr>
        <w:t>3.9  评标结果</w:t>
      </w:r>
      <w:bookmarkEnd w:id="644"/>
      <w:bookmarkEnd w:id="645"/>
      <w:bookmarkEnd w:id="646"/>
      <w:bookmarkEnd w:id="647"/>
      <w:bookmarkEnd w:id="648"/>
      <w:bookmarkEnd w:id="649"/>
    </w:p>
    <w:p w14:paraId="6D56E651">
      <w:pPr>
        <w:pStyle w:val="14"/>
        <w:ind w:left="0" w:firstLine="420" w:firstLineChars="200"/>
        <w:rPr>
          <w:rFonts w:ascii="宋体" w:hAnsi="宋体" w:cs="宋体"/>
          <w:color w:val="auto"/>
          <w:szCs w:val="21"/>
          <w:highlight w:val="none"/>
        </w:rPr>
      </w:pPr>
      <w:r>
        <w:rPr>
          <w:rFonts w:hint="eastAsia" w:ascii="宋体" w:hAnsi="宋体" w:cs="宋体"/>
          <w:color w:val="auto"/>
          <w:szCs w:val="21"/>
          <w:highlight w:val="none"/>
        </w:rPr>
        <w:t>3.9.1 除第二章“竞包人须知”前附表授权直接确定中包人外，评标委员会按照得分由高到低的顺序推荐中包候选人，并标明排序。</w:t>
      </w:r>
    </w:p>
    <w:p w14:paraId="63198BF1">
      <w:pPr>
        <w:pStyle w:val="14"/>
        <w:ind w:left="0" w:firstLine="420" w:firstLineChars="200"/>
        <w:rPr>
          <w:rFonts w:ascii="宋体" w:hAnsi="宋体" w:cs="宋体"/>
          <w:color w:val="auto"/>
          <w:szCs w:val="21"/>
          <w:highlight w:val="none"/>
        </w:rPr>
        <w:sectPr>
          <w:headerReference r:id="rId18" w:type="even"/>
          <w:footnotePr>
            <w:numFmt w:val="decimalEnclosedCircleChinese"/>
            <w:numRestart w:val="eachPage"/>
          </w:footnotePr>
          <w:type w:val="continuous"/>
          <w:pgSz w:w="11911" w:h="16849"/>
          <w:pgMar w:top="1417" w:right="1361" w:bottom="1417" w:left="1361" w:header="850" w:footer="907" w:gutter="0"/>
          <w:cols w:space="720" w:num="1"/>
        </w:sectPr>
      </w:pPr>
      <w:r>
        <w:rPr>
          <w:rFonts w:hint="eastAsia" w:ascii="宋体" w:hAnsi="宋体" w:cs="宋体"/>
          <w:color w:val="auto"/>
          <w:szCs w:val="21"/>
          <w:highlight w:val="none"/>
        </w:rPr>
        <w:t>3.9.2 评标委员会完成评标后，应向发包人提交书面评标报告。</w:t>
      </w:r>
    </w:p>
    <w:p w14:paraId="1634FDCB">
      <w:pPr>
        <w:pStyle w:val="14"/>
        <w:jc w:val="center"/>
        <w:rPr>
          <w:color w:val="auto"/>
          <w:highlight w:val="none"/>
        </w:rPr>
      </w:pPr>
      <w:r>
        <w:rPr>
          <w:rFonts w:ascii="宋体" w:hAnsi="宋体"/>
          <w:color w:val="auto"/>
          <w:szCs w:val="21"/>
          <w:highlight w:val="none"/>
        </w:rPr>
        <w:br w:type="page"/>
      </w:r>
    </w:p>
    <w:p w14:paraId="014C3830">
      <w:pPr>
        <w:pStyle w:val="14"/>
        <w:jc w:val="center"/>
        <w:rPr>
          <w:color w:val="auto"/>
          <w:highlight w:val="none"/>
        </w:rPr>
      </w:pPr>
    </w:p>
    <w:p w14:paraId="610F2232">
      <w:pPr>
        <w:pStyle w:val="14"/>
        <w:jc w:val="center"/>
        <w:rPr>
          <w:color w:val="auto"/>
          <w:highlight w:val="none"/>
        </w:rPr>
      </w:pPr>
    </w:p>
    <w:p w14:paraId="0519914E">
      <w:pPr>
        <w:pStyle w:val="14"/>
        <w:jc w:val="center"/>
        <w:rPr>
          <w:color w:val="auto"/>
          <w:highlight w:val="none"/>
        </w:rPr>
      </w:pPr>
    </w:p>
    <w:p w14:paraId="0FA51CC6">
      <w:pPr>
        <w:pStyle w:val="14"/>
        <w:jc w:val="center"/>
        <w:rPr>
          <w:color w:val="auto"/>
          <w:highlight w:val="none"/>
        </w:rPr>
      </w:pPr>
    </w:p>
    <w:p w14:paraId="1C92ABE0">
      <w:pPr>
        <w:pStyle w:val="14"/>
        <w:jc w:val="center"/>
        <w:rPr>
          <w:color w:val="auto"/>
          <w:highlight w:val="none"/>
        </w:rPr>
      </w:pPr>
    </w:p>
    <w:p w14:paraId="7F5952D2">
      <w:pPr>
        <w:pStyle w:val="14"/>
        <w:jc w:val="center"/>
        <w:rPr>
          <w:color w:val="auto"/>
          <w:highlight w:val="none"/>
        </w:rPr>
      </w:pPr>
    </w:p>
    <w:p w14:paraId="50CF67DE">
      <w:pPr>
        <w:pStyle w:val="14"/>
        <w:jc w:val="center"/>
        <w:rPr>
          <w:color w:val="auto"/>
          <w:highlight w:val="none"/>
        </w:rPr>
      </w:pPr>
    </w:p>
    <w:p w14:paraId="18C0954D">
      <w:pPr>
        <w:pStyle w:val="14"/>
        <w:jc w:val="center"/>
        <w:rPr>
          <w:color w:val="auto"/>
          <w:highlight w:val="none"/>
        </w:rPr>
      </w:pPr>
    </w:p>
    <w:p w14:paraId="02C5ADA4">
      <w:pPr>
        <w:pStyle w:val="14"/>
        <w:jc w:val="center"/>
        <w:rPr>
          <w:color w:val="auto"/>
          <w:highlight w:val="none"/>
        </w:rPr>
      </w:pPr>
    </w:p>
    <w:p w14:paraId="76A5580C">
      <w:pPr>
        <w:pStyle w:val="14"/>
        <w:jc w:val="center"/>
        <w:rPr>
          <w:color w:val="auto"/>
          <w:highlight w:val="none"/>
        </w:rPr>
      </w:pPr>
    </w:p>
    <w:p w14:paraId="6020CC23">
      <w:pPr>
        <w:pStyle w:val="14"/>
        <w:jc w:val="center"/>
        <w:rPr>
          <w:color w:val="auto"/>
          <w:highlight w:val="none"/>
        </w:rPr>
      </w:pPr>
    </w:p>
    <w:p w14:paraId="4A2F74BB">
      <w:pPr>
        <w:pStyle w:val="14"/>
        <w:jc w:val="center"/>
        <w:rPr>
          <w:color w:val="auto"/>
          <w:highlight w:val="none"/>
        </w:rPr>
      </w:pPr>
    </w:p>
    <w:p w14:paraId="12DEE69A">
      <w:pPr>
        <w:pStyle w:val="14"/>
        <w:jc w:val="center"/>
        <w:rPr>
          <w:color w:val="auto"/>
          <w:highlight w:val="none"/>
        </w:rPr>
      </w:pPr>
    </w:p>
    <w:p w14:paraId="75E09C51">
      <w:pPr>
        <w:pStyle w:val="14"/>
        <w:jc w:val="center"/>
        <w:rPr>
          <w:color w:val="auto"/>
          <w:highlight w:val="none"/>
        </w:rPr>
      </w:pPr>
    </w:p>
    <w:p w14:paraId="17F60022">
      <w:pPr>
        <w:pStyle w:val="14"/>
        <w:jc w:val="center"/>
        <w:rPr>
          <w:color w:val="auto"/>
          <w:highlight w:val="none"/>
        </w:rPr>
      </w:pPr>
    </w:p>
    <w:p w14:paraId="4D32ABC7">
      <w:pPr>
        <w:pStyle w:val="63"/>
        <w:spacing w:line="360" w:lineRule="auto"/>
        <w:jc w:val="center"/>
        <w:rPr>
          <w:b w:val="0"/>
          <w:bCs w:val="0"/>
          <w:color w:val="auto"/>
          <w:sz w:val="44"/>
          <w:szCs w:val="44"/>
          <w:highlight w:val="none"/>
        </w:rPr>
      </w:pPr>
      <w:bookmarkStart w:id="650" w:name="_Toc17805"/>
      <w:bookmarkStart w:id="651" w:name="_Toc21811"/>
      <w:bookmarkStart w:id="652" w:name="_Toc10284"/>
      <w:bookmarkStart w:id="653" w:name="_Toc20989"/>
      <w:bookmarkStart w:id="654" w:name="_Toc18801"/>
      <w:bookmarkStart w:id="655" w:name="_Toc10543"/>
      <w:r>
        <w:rPr>
          <w:rFonts w:hint="eastAsia"/>
          <w:b w:val="0"/>
          <w:bCs w:val="0"/>
          <w:color w:val="auto"/>
          <w:sz w:val="44"/>
          <w:szCs w:val="44"/>
          <w:highlight w:val="none"/>
        </w:rPr>
        <w:t>第四章 合同条款及格式</w:t>
      </w:r>
      <w:bookmarkEnd w:id="650"/>
      <w:bookmarkEnd w:id="651"/>
      <w:bookmarkEnd w:id="652"/>
      <w:bookmarkEnd w:id="653"/>
      <w:bookmarkEnd w:id="654"/>
      <w:bookmarkEnd w:id="655"/>
    </w:p>
    <w:p w14:paraId="77D8A84D">
      <w:pPr>
        <w:pStyle w:val="14"/>
        <w:spacing w:line="400" w:lineRule="exact"/>
        <w:rPr>
          <w:color w:val="auto"/>
          <w:highlight w:val="none"/>
        </w:rPr>
      </w:pPr>
      <w:r>
        <w:rPr>
          <w:color w:val="auto"/>
          <w:highlight w:val="none"/>
        </w:rPr>
        <w:br w:type="page"/>
      </w:r>
    </w:p>
    <w:p w14:paraId="096DB0E0">
      <w:pPr>
        <w:pStyle w:val="14"/>
        <w:spacing w:line="400" w:lineRule="exact"/>
        <w:rPr>
          <w:color w:val="auto"/>
          <w:highlight w:val="none"/>
        </w:rPr>
      </w:pPr>
    </w:p>
    <w:p w14:paraId="4C41E8DD">
      <w:pPr>
        <w:pStyle w:val="14"/>
        <w:spacing w:line="400" w:lineRule="exact"/>
        <w:rPr>
          <w:color w:val="auto"/>
          <w:highlight w:val="none"/>
        </w:rPr>
      </w:pPr>
    </w:p>
    <w:p w14:paraId="292EB04F">
      <w:pPr>
        <w:pStyle w:val="14"/>
        <w:spacing w:line="400" w:lineRule="exact"/>
        <w:rPr>
          <w:color w:val="auto"/>
          <w:highlight w:val="none"/>
        </w:rPr>
      </w:pPr>
    </w:p>
    <w:p w14:paraId="5DD1300F">
      <w:pPr>
        <w:pStyle w:val="14"/>
        <w:spacing w:line="400" w:lineRule="exact"/>
        <w:rPr>
          <w:color w:val="auto"/>
          <w:highlight w:val="none"/>
        </w:rPr>
      </w:pPr>
    </w:p>
    <w:p w14:paraId="782C02F9">
      <w:pPr>
        <w:pStyle w:val="14"/>
        <w:spacing w:line="400" w:lineRule="exact"/>
        <w:rPr>
          <w:color w:val="auto"/>
          <w:highlight w:val="none"/>
        </w:rPr>
      </w:pPr>
    </w:p>
    <w:p w14:paraId="11F8DEC5">
      <w:pPr>
        <w:pStyle w:val="14"/>
        <w:spacing w:line="400" w:lineRule="exact"/>
        <w:rPr>
          <w:color w:val="auto"/>
          <w:highlight w:val="none"/>
        </w:rPr>
      </w:pPr>
    </w:p>
    <w:p w14:paraId="17EBD0ED">
      <w:pPr>
        <w:pStyle w:val="14"/>
        <w:spacing w:line="400" w:lineRule="exact"/>
        <w:rPr>
          <w:color w:val="auto"/>
          <w:highlight w:val="none"/>
        </w:rPr>
      </w:pPr>
    </w:p>
    <w:p w14:paraId="3C04DD7A">
      <w:pPr>
        <w:pStyle w:val="14"/>
        <w:spacing w:line="400" w:lineRule="exact"/>
        <w:rPr>
          <w:color w:val="auto"/>
          <w:highlight w:val="none"/>
        </w:rPr>
      </w:pPr>
    </w:p>
    <w:p w14:paraId="6F940F54">
      <w:pPr>
        <w:pStyle w:val="14"/>
        <w:spacing w:line="400" w:lineRule="exact"/>
        <w:rPr>
          <w:color w:val="auto"/>
          <w:highlight w:val="none"/>
        </w:rPr>
      </w:pPr>
    </w:p>
    <w:p w14:paraId="7CA60378">
      <w:pPr>
        <w:pStyle w:val="62"/>
        <w:jc w:val="center"/>
        <w:rPr>
          <w:color w:val="auto"/>
          <w:highlight w:val="none"/>
        </w:rPr>
      </w:pPr>
      <w:bookmarkStart w:id="656" w:name="_Toc23599"/>
      <w:bookmarkStart w:id="657" w:name="_Toc152042388"/>
      <w:bookmarkStart w:id="658" w:name="_Toc28716"/>
      <w:bookmarkStart w:id="659" w:name="_Toc22774"/>
      <w:bookmarkStart w:id="660" w:name="_Toc152045610"/>
      <w:bookmarkStart w:id="661" w:name="_Toc17674"/>
      <w:bookmarkStart w:id="662" w:name="_Toc14488"/>
      <w:bookmarkStart w:id="663" w:name="_Toc29949"/>
      <w:bookmarkStart w:id="664" w:name="_Toc144974578"/>
      <w:bookmarkStart w:id="665" w:name="_Toc179632628"/>
      <w:r>
        <w:rPr>
          <w:rFonts w:hint="eastAsia"/>
          <w:color w:val="auto"/>
          <w:highlight w:val="none"/>
        </w:rPr>
        <w:t>第一节 通用合同条款</w:t>
      </w:r>
      <w:bookmarkEnd w:id="656"/>
      <w:bookmarkEnd w:id="657"/>
      <w:bookmarkEnd w:id="658"/>
      <w:bookmarkEnd w:id="659"/>
      <w:bookmarkEnd w:id="660"/>
      <w:bookmarkEnd w:id="661"/>
      <w:bookmarkEnd w:id="662"/>
      <w:bookmarkEnd w:id="663"/>
      <w:bookmarkEnd w:id="664"/>
      <w:bookmarkEnd w:id="665"/>
    </w:p>
    <w:p w14:paraId="11F7CE82">
      <w:pPr>
        <w:pStyle w:val="14"/>
        <w:spacing w:line="400" w:lineRule="exact"/>
        <w:rPr>
          <w:color w:val="auto"/>
          <w:highlight w:val="none"/>
        </w:rPr>
      </w:pPr>
    </w:p>
    <w:p w14:paraId="68C005ED">
      <w:pPr>
        <w:pStyle w:val="14"/>
        <w:spacing w:line="400" w:lineRule="exact"/>
        <w:rPr>
          <w:color w:val="auto"/>
          <w:highlight w:val="none"/>
        </w:rPr>
      </w:pPr>
      <w:r>
        <w:rPr>
          <w:color w:val="auto"/>
          <w:highlight w:val="none"/>
        </w:rPr>
        <w:br w:type="page"/>
      </w:r>
      <w:bookmarkStart w:id="666" w:name="_Hlk41753686"/>
    </w:p>
    <w:p w14:paraId="62E69461">
      <w:pPr>
        <w:pStyle w:val="14"/>
        <w:spacing w:line="400" w:lineRule="exact"/>
        <w:jc w:val="center"/>
        <w:rPr>
          <w:rFonts w:ascii="黑体" w:eastAsia="黑体"/>
          <w:color w:val="auto"/>
          <w:sz w:val="28"/>
          <w:szCs w:val="28"/>
          <w:highlight w:val="none"/>
        </w:rPr>
      </w:pPr>
      <w:r>
        <w:rPr>
          <w:rFonts w:hint="eastAsia" w:ascii="黑体" w:eastAsia="黑体"/>
          <w:color w:val="auto"/>
          <w:sz w:val="28"/>
          <w:szCs w:val="28"/>
          <w:highlight w:val="none"/>
        </w:rPr>
        <w:t>通用合同条款</w:t>
      </w:r>
    </w:p>
    <w:p w14:paraId="67873B7A">
      <w:pPr>
        <w:pStyle w:val="14"/>
        <w:spacing w:line="400" w:lineRule="exact"/>
        <w:rPr>
          <w:rFonts w:ascii="宋体" w:hAnsi="宋体"/>
          <w:color w:val="auto"/>
          <w:highlight w:val="none"/>
        </w:rPr>
      </w:pPr>
    </w:p>
    <w:p w14:paraId="746C2CE0">
      <w:pPr>
        <w:pStyle w:val="68"/>
        <w:spacing w:line="360" w:lineRule="auto"/>
        <w:ind w:left="0" w:firstLine="0"/>
        <w:outlineLvl w:val="1"/>
        <w:rPr>
          <w:rFonts w:ascii="黑体" w:hAnsi="黑体"/>
          <w:color w:val="auto"/>
          <w:szCs w:val="24"/>
          <w:highlight w:val="none"/>
        </w:rPr>
      </w:pPr>
      <w:bookmarkStart w:id="667" w:name="_Toc12730"/>
      <w:bookmarkStart w:id="668" w:name="_Toc10351"/>
      <w:bookmarkStart w:id="669" w:name="_Toc8266"/>
      <w:bookmarkStart w:id="670" w:name="_Toc18096"/>
      <w:bookmarkStart w:id="671" w:name="_Toc483"/>
      <w:bookmarkStart w:id="672" w:name="_Toc11501"/>
      <w:r>
        <w:rPr>
          <w:rFonts w:hint="eastAsia" w:ascii="黑体" w:hAnsi="黑体"/>
          <w:color w:val="auto"/>
          <w:szCs w:val="24"/>
          <w:highlight w:val="none"/>
        </w:rPr>
        <w:t>1.一般约定</w:t>
      </w:r>
      <w:bookmarkEnd w:id="667"/>
      <w:bookmarkEnd w:id="668"/>
      <w:bookmarkEnd w:id="669"/>
      <w:bookmarkEnd w:id="670"/>
      <w:bookmarkEnd w:id="671"/>
      <w:bookmarkEnd w:id="672"/>
    </w:p>
    <w:p w14:paraId="74B0AE25">
      <w:pPr>
        <w:pStyle w:val="14"/>
        <w:ind w:left="0"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1.1</w:t>
      </w:r>
      <w:r>
        <w:rPr>
          <w:rFonts w:hint="eastAsia" w:ascii="宋体" w:hAnsi="宋体" w:cs="宋体"/>
          <w:color w:val="auto"/>
          <w:kern w:val="0"/>
          <w:szCs w:val="21"/>
          <w:highlight w:val="none"/>
        </w:rPr>
        <w:t xml:space="preserve">  词语定义</w:t>
      </w:r>
    </w:p>
    <w:p w14:paraId="083B41CD">
      <w:pPr>
        <w:pStyle w:val="14"/>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通用合同条款、专用合同条款中的下列词语应具有本款所赋予的含义。</w:t>
      </w:r>
      <w:r>
        <w:rPr>
          <w:rFonts w:ascii="宋体" w:hAnsi="宋体" w:cs="宋体"/>
          <w:color w:val="auto"/>
          <w:kern w:val="0"/>
          <w:szCs w:val="21"/>
          <w:highlight w:val="none"/>
        </w:rPr>
        <w:t xml:space="preserve"> </w:t>
      </w:r>
    </w:p>
    <w:p w14:paraId="6DD88485">
      <w:pPr>
        <w:pStyle w:val="14"/>
        <w:ind w:left="0"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1.</w:t>
      </w:r>
      <w:r>
        <w:rPr>
          <w:rFonts w:hint="eastAsia" w:ascii="宋体" w:hAnsi="宋体" w:cs="宋体"/>
          <w:color w:val="auto"/>
          <w:kern w:val="0"/>
          <w:szCs w:val="21"/>
          <w:highlight w:val="none"/>
        </w:rPr>
        <w:t>1.1  合同</w:t>
      </w:r>
    </w:p>
    <w:p w14:paraId="69CFEE2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1.1.1.1  合同文件（或称合同）：指合同协议书及各种合同附件、中包通知书、竞包函、专用合同条款、通用合同条款、发包人要求、设计费用清单，以及其他构成合同组成部分的文件。</w:t>
      </w:r>
    </w:p>
    <w:p w14:paraId="6968CCA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1.1.1.2  合同协议书：指发包人和设计人共同签署的合同协议书。</w:t>
      </w:r>
    </w:p>
    <w:p w14:paraId="11936D9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1.1.1.3  中包通知书：指发包人通知设计人中包的函件。</w:t>
      </w:r>
    </w:p>
    <w:p w14:paraId="0C3EC08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1.1.1.4  竞包函：指由设计人填写并签署的，名为“竞包函”的函件。</w:t>
      </w:r>
    </w:p>
    <w:p w14:paraId="6A5EB64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1.1.1.5  发包人要求：指合同文件中名为“发包人要求”的文件。</w:t>
      </w:r>
    </w:p>
    <w:p w14:paraId="37DF3CC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1.1.1.6  技术建议书：指设计人竞包文件中的技术建议书。</w:t>
      </w:r>
    </w:p>
    <w:p w14:paraId="52D6224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1.1.1.7  设计费用清单：指设计人竞包文件中的设计费用清单。</w:t>
      </w:r>
    </w:p>
    <w:p w14:paraId="31FF64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1.1.1.8  其他合同文件：指经合同双方当事人确认构成合同文件的其他文件。</w:t>
      </w:r>
    </w:p>
    <w:p w14:paraId="2889B09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  合同当事人和人员</w:t>
      </w:r>
    </w:p>
    <w:p w14:paraId="6C7CB6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1.1.2.1  合同当事人：指发包人和（或）设计人。</w:t>
      </w:r>
    </w:p>
    <w:p w14:paraId="38FCCAA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1.1.2.2  发包人：指与设计人签订合同协议书的当事人，以及取得该当事人资格的合法继承人。</w:t>
      </w:r>
    </w:p>
    <w:p w14:paraId="558C3B9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1.1.2.3  设计人：指与发包人签订合同协议书的当事人，以及取得该当事人资格的合法继承人。若设计人为联合体，则设计人包括联合体所有成员单位。</w:t>
      </w:r>
    </w:p>
    <w:p w14:paraId="5AE0E75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1.1.2.4  发包人代表：指由发包人任命，并在授权范围和期限内代表发包人行使权利和履行义务的全权负责人。</w:t>
      </w:r>
    </w:p>
    <w:p w14:paraId="1E49A42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1.1.2.5  项目负责人：指由设计人任命，代表设计人行使权利和履行义务的全权负责人。</w:t>
      </w:r>
    </w:p>
    <w:p w14:paraId="00EA057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1.1.2.6  分项负责人：指由设计人任命、并经过发包人认可的各专业负责人。</w:t>
      </w:r>
    </w:p>
    <w:p w14:paraId="4DAB623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1.1.2.7  分包人：指从设计人处分包合同中某一部分工作，并与其签订分包合同的单位。</w:t>
      </w:r>
    </w:p>
    <w:p w14:paraId="0BBEC8D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1.1.2.8  咨询单位：指受发包人委托对本工程设计文件进行审查或提供咨询意见的咨询机构。</w:t>
      </w:r>
    </w:p>
    <w:p w14:paraId="0306B9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  工程和设计</w:t>
      </w:r>
    </w:p>
    <w:p w14:paraId="77B8C65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1.1.3.1  工程：指专用合同条款中指明进行设计发包的工程。</w:t>
      </w:r>
    </w:p>
    <w:p w14:paraId="725113E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1.1.3.2  设计服务：指设计人按照合同约定履行的服务，包括制订设计工作大纲，编制设计文件和设计概算、预算，提供技术交底、发包与施工配合，参加交工验收、参加竣工验收或发包人委托的其他服务。</w:t>
      </w:r>
    </w:p>
    <w:p w14:paraId="4441D95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1.1.3.3  设备：指为完成合同约定的作所需的设备、器具和其他物品，不包括临时工程和材料。</w:t>
      </w:r>
    </w:p>
    <w:p w14:paraId="51A7EC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1.1.3.4  勘探场地：指用于工程勘探的场所，以及在合同中指定作为勘探场地组成的其他场所。</w:t>
      </w:r>
    </w:p>
    <w:p w14:paraId="694F245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1.1.3.5  设计资料：指发包人按合同约定向设计人提供的、用于完成设计服务范围与内容所需的资料。</w:t>
      </w:r>
    </w:p>
    <w:p w14:paraId="03F9A21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1.1.3.6  设计文件：指设计人按合同约定向发包人提交的设计说明、图纸、图板、模型、计算书、软件和其他文件等，包括阶段性文件和最终文件，且应采用合同中双方约定的格式和载体。</w:t>
      </w:r>
    </w:p>
    <w:p w14:paraId="7359F18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  日期</w:t>
      </w:r>
    </w:p>
    <w:p w14:paraId="226CEE2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1.1.4.1  开始设计通知：指发包人按第6.1款通知设计人开始设计的函件。</w:t>
      </w:r>
    </w:p>
    <w:p w14:paraId="22F1042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1.1.4.2  开始设计日</w:t>
      </w:r>
      <w:r>
        <w:rPr>
          <w:rFonts w:ascii="宋体" w:hAnsi="宋体"/>
          <w:color w:val="auto"/>
          <w:spacing w:val="2"/>
          <w:szCs w:val="21"/>
          <w:highlight w:val="none"/>
        </w:rPr>
        <w:t>期</w:t>
      </w:r>
      <w:r>
        <w:rPr>
          <w:rFonts w:ascii="宋体" w:hAnsi="宋体"/>
          <w:color w:val="auto"/>
          <w:szCs w:val="21"/>
          <w:highlight w:val="none"/>
        </w:rPr>
        <w:t>：</w:t>
      </w:r>
      <w:r>
        <w:rPr>
          <w:rFonts w:ascii="宋体" w:hAnsi="宋体"/>
          <w:color w:val="auto"/>
          <w:spacing w:val="-5"/>
          <w:szCs w:val="21"/>
          <w:highlight w:val="none"/>
        </w:rPr>
        <w:t>指发包人按第</w:t>
      </w:r>
      <w:r>
        <w:rPr>
          <w:rFonts w:ascii="宋体" w:hAnsi="宋体"/>
          <w:color w:val="auto"/>
          <w:szCs w:val="21"/>
          <w:highlight w:val="none"/>
        </w:rPr>
        <w:t>6.1款发出的开始设计通知中写明的开始设计日期</w:t>
      </w:r>
      <w:r>
        <w:rPr>
          <w:rFonts w:hint="eastAsia" w:ascii="宋体" w:hAnsi="宋体"/>
          <w:color w:val="auto"/>
          <w:szCs w:val="21"/>
          <w:highlight w:val="none"/>
        </w:rPr>
        <w:t>。</w:t>
      </w:r>
    </w:p>
    <w:p w14:paraId="47082E1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1.1.4.3  设计服务期限：指设计人在竞包函中承诺的完成合同设计服务所需的期限，包括按第6.2款、第6.4款、第6.5款和第6.7款约定所作的调整。</w:t>
      </w:r>
    </w:p>
    <w:p w14:paraId="1A2797B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1.1.4.4  完成设计日期：指第1.1.4.3目约定设计服务期限届满时的日期。</w:t>
      </w:r>
    </w:p>
    <w:p w14:paraId="67AAEE5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1.1.4.5  基准日：指竞包截止时间前28天的日期。</w:t>
      </w:r>
    </w:p>
    <w:p w14:paraId="208F4F6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1.1.4.6  天：除特别指明外，指日历天。合同中按天计算时间的，开始当天不计入，从次日开始计算。期限最后一天的截止时间为当天24:00。</w:t>
      </w:r>
    </w:p>
    <w:p w14:paraId="1B1F23C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  合同价格和费用</w:t>
      </w:r>
    </w:p>
    <w:p w14:paraId="43D9478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1.1.5.1  签约合同价：指签订合同时合同协议书中写明的、包括暂列金额在内的设计费用总金额。</w:t>
      </w:r>
    </w:p>
    <w:p w14:paraId="2418DEC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1.1.5.2  合同价格：指设计人按合同约定完成了全部设计工作后，发包人应付给设计人的金额，包括在履行合同过程中按合同约定进行的变更和调整。</w:t>
      </w:r>
    </w:p>
    <w:p w14:paraId="2DFD9C8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1.1.5.3  费用：指为履行合同所发生的或将要发生的所有合理开支，包括管理费和应分摊的其他费用，但不包括利润。</w:t>
      </w:r>
    </w:p>
    <w:p w14:paraId="288709B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1.1.5.4  暂列金额：指暂时未定的，包括在合同中，并在报价清单汇总表中以此名称标明的金额，用于进行本工程可能发生的额外设计工作或作为不可预见费用，按照合同条款第12.5 款的规定使用。</w:t>
      </w:r>
    </w:p>
    <w:p w14:paraId="676044A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1.1.6  其他</w:t>
      </w:r>
    </w:p>
    <w:p w14:paraId="291B2F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1.1.6.1  书面形式：指合同文件、信件和数据电文（包括电报、电传、传真、电子数据交换和电子邮件）等可以有形地表现所载内容的形式。</w:t>
      </w:r>
    </w:p>
    <w:p w14:paraId="603D1EC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1.1.6.2  设计质量事故：指在缺陷责任期结束前，由于设计原因使工程不满足技术标准及设计要求，并造成结构损毁或一定直接经济损失的事故。</w:t>
      </w:r>
    </w:p>
    <w:p w14:paraId="25A4B0F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根据直接经济损失或工程结构损毁情况（自然灾害所致除外），设计质量事故分为特别重大质量事故、重大质量事故、较大质量事故和一般质量事故四个等级，上述质量事故的界定按交通运输部《公路水运建设工程质量事故等级划分和报告制度》规定执行。</w:t>
      </w:r>
    </w:p>
    <w:p w14:paraId="7E94871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  语言文字</w:t>
      </w:r>
    </w:p>
    <w:p w14:paraId="21BABA3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合同使用的语言文字为中文。专用术语使用外文的，应附有中文注释。</w:t>
      </w:r>
    </w:p>
    <w:p w14:paraId="146503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  适用法律</w:t>
      </w:r>
    </w:p>
    <w:p w14:paraId="1E1F1A4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适用于合同的法律包括中华人民共和国法律、行政法规、部门规章，以及工程所在地的地方法规、自治条例、单行条例和地方政府规章。</w:t>
      </w:r>
    </w:p>
    <w:p w14:paraId="34AD05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本合同适用的其他规范性文件，可在专用合同条款中约定。</w:t>
      </w:r>
    </w:p>
    <w:p w14:paraId="70CA60D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  合同文件的优先顺序</w:t>
      </w:r>
    </w:p>
    <w:p w14:paraId="2CAEA4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组成合同的各项文件应互相解释，互为说明。除专用合同条款另有约定外，解释合同文件的优先顺序如下：</w:t>
      </w:r>
    </w:p>
    <w:p w14:paraId="6E907B1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（1）合同协议书及各种合同附件（含评标期间和合同谈判过程中的澄清文件和补充资料；设计人提交的经发包人审核通过的设计详细工作大纲及进度计划等）；</w:t>
      </w:r>
    </w:p>
    <w:p w14:paraId="182A225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（2）中包通知书；</w:t>
      </w:r>
    </w:p>
    <w:p w14:paraId="6D6B025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（3）竞包函；</w:t>
      </w:r>
    </w:p>
    <w:p w14:paraId="4ABCC51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（4）专用合同条款；</w:t>
      </w:r>
    </w:p>
    <w:p w14:paraId="3AB0AE7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（5）通用合同条款；</w:t>
      </w:r>
    </w:p>
    <w:p w14:paraId="5F43164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（6）发包人要求；</w:t>
      </w:r>
    </w:p>
    <w:p w14:paraId="2A2D07B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（7）设计费用清单；</w:t>
      </w:r>
    </w:p>
    <w:p w14:paraId="0D0FACE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（8）设计人有关人员投入的承诺；</w:t>
      </w:r>
    </w:p>
    <w:p w14:paraId="633AFFE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（9）其他合同文件。</w:t>
      </w:r>
    </w:p>
    <w:p w14:paraId="220DEA8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合同当事人针对各类合同文件所作出的补充和修改亦属于合同文件的组成部分，属于同一类内容的文件，应以最新签署的为准。</w:t>
      </w:r>
    </w:p>
    <w:p w14:paraId="7BAFCA0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  合同协议书</w:t>
      </w:r>
    </w:p>
    <w:p w14:paraId="3EEF0C2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设计人按中包通知书规定的时间与发包人签订合同协议书。除法律另有规定或合同另有约定外，发包人和设计人的法定代表人或其委托代理人在合同协议书上签字并盖单位章后，合同生效。</w:t>
      </w:r>
    </w:p>
    <w:p w14:paraId="5CC1E6C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  文件的提供和照管</w:t>
      </w:r>
    </w:p>
    <w:p w14:paraId="3A75879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1.6.1  设计文件的提供</w:t>
      </w:r>
    </w:p>
    <w:p w14:paraId="6248FC3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除专用合同条款另有约定外，设计人应在合理的期限内按照合同约定的数量向发包人提供设计文件。合同约定设计文件应经发包人批复的，发包人应在合同约定的期限内批复或提出修改意见。</w:t>
      </w:r>
    </w:p>
    <w:p w14:paraId="5A5EB18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  发包人提供的文件</w:t>
      </w:r>
    </w:p>
    <w:p w14:paraId="2F2E8CD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按专用合同条款约定由发包人提供的文件，包括基础资料、设计任务书等，发包人应按约定的数量和期限交给设计人。由于发包人未按时提供文件造成设计服务期限延误的，按第6.2款约定执行。</w:t>
      </w:r>
    </w:p>
    <w:p w14:paraId="1B90038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1.6.3  文件错误的通知</w:t>
      </w:r>
    </w:p>
    <w:p w14:paraId="6F790FD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任何一方当事人发现文件中存在的明显错误或疏忽，均应及时通知对方当事人，并应立即采取适当的措施防止损失扩大。</w:t>
      </w:r>
    </w:p>
    <w:p w14:paraId="0E2EB55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  联络</w:t>
      </w:r>
    </w:p>
    <w:p w14:paraId="6384518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1.7.1  与合同有关的通知、批准、证明、证书、指示、要求、请求、同意、意见、确定和决定等，均应采用书面形式。</w:t>
      </w:r>
    </w:p>
    <w:p w14:paraId="2FF958F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1.7.2  上述通知、批准、证明、证书、指示、要求、请求、同意、意见、确定和决定等来往函件，均应在合同约定的期限内送达指定的地点和指定的接收人，并办理签收手续。</w:t>
      </w:r>
    </w:p>
    <w:p w14:paraId="3F97FF8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1.8  转让</w:t>
      </w:r>
    </w:p>
    <w:p w14:paraId="7FC9920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除专用合同条款另有约定外，未经对方当事人同意，一方当事人不得将合同权利全部或部分转让给第三人，也不得全部或部分转移合同义务。</w:t>
      </w:r>
    </w:p>
    <w:p w14:paraId="40EC786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1.9  严禁贿赂</w:t>
      </w:r>
    </w:p>
    <w:p w14:paraId="1DCE402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合同双方当事人不得以贿赂或变相贿赂的方式，谋取不当利益或损害对方权益。因贿赂造成对方当事人损失的，行为人应赔偿损失，并承担相应的法律责任。</w:t>
      </w:r>
    </w:p>
    <w:p w14:paraId="2C0A57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  知识产权</w:t>
      </w:r>
    </w:p>
    <w:p w14:paraId="3424EE2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1.10.1  除专用合同条款另有约定外，设计人因受发包人委托进行的本项目设计而产生的成果均为双方所共同享有，其中任何一方向第三方转让时须经另一方同意，但若发包人因推进本项目的需要向第三者透露研究成果，则无须经过设计人的同意。</w:t>
      </w:r>
    </w:p>
    <w:p w14:paraId="42629C0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1.10.2  设计人在从事设计活动时，不得侵犯他人的知识产权。因侵犯专利权或其他知识产权所引起的责任，由设计人自行承担。因发包人提供的设计资料导致侵权的，由发包人承担责任。</w:t>
      </w:r>
    </w:p>
    <w:p w14:paraId="5AD7843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1.10.3  设计人在竞包文件中采用专利技术、专有技术的，相应的使用费视为已包含在竞包报价之中。</w:t>
      </w:r>
    </w:p>
    <w:p w14:paraId="29C3D20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  文件及信息的保密</w:t>
      </w:r>
    </w:p>
    <w:p w14:paraId="632636F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未经对方同意，任何一方当事人不得将有关文件、技术秘密、需要保密的资料和信息泄露给他人或公开发表与引用。</w:t>
      </w:r>
    </w:p>
    <w:p w14:paraId="2269F13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  发包人要求</w:t>
      </w:r>
    </w:p>
    <w:p w14:paraId="6971DA7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1.12.1  设计人应认真阅读、复核发包人要求，发现错误的，应及时书面通知发包人。无论是否存在错误，发包人均有权修改发包人要求，并在修改后3天内通知设计人。除专用合同条款另有约定外，由此导致设计人费用增加和（或）周期延误的，发包人应当相应地增加费用和（或）延长周期。</w:t>
      </w:r>
    </w:p>
    <w:p w14:paraId="04E420D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1.12.2  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14:paraId="607FC74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1.12.3  发包人要求采用国外规范和标准进行设计时，应由发包人负责提供该规范和标准的外国文本和中文译本，提供的时间、份数和其他要求在专用合同条款中约定。</w:t>
      </w:r>
    </w:p>
    <w:p w14:paraId="44FCC1A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  避免利益冲突</w:t>
      </w:r>
    </w:p>
    <w:p w14:paraId="1611035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除专用合同条款另有约定外，设计人及其雇员不应接受本合同规定以外的与本工程有关的利益和报酬；设计人不得参与与发包人的利益相冲突的任何活动。</w:t>
      </w:r>
    </w:p>
    <w:p w14:paraId="02D72215">
      <w:pPr>
        <w:pStyle w:val="68"/>
        <w:spacing w:line="360" w:lineRule="auto"/>
        <w:ind w:left="0" w:firstLine="0"/>
        <w:outlineLvl w:val="1"/>
        <w:rPr>
          <w:rFonts w:ascii="黑体" w:hAnsi="黑体"/>
          <w:color w:val="auto"/>
          <w:szCs w:val="24"/>
          <w:highlight w:val="none"/>
        </w:rPr>
      </w:pPr>
      <w:bookmarkStart w:id="673" w:name="_Toc7504"/>
      <w:bookmarkStart w:id="674" w:name="_Toc25374"/>
      <w:bookmarkStart w:id="675" w:name="_Toc19384"/>
      <w:bookmarkStart w:id="676" w:name="_Toc17482"/>
      <w:bookmarkStart w:id="677" w:name="_Toc6129"/>
      <w:bookmarkStart w:id="678" w:name="_Toc31745"/>
      <w:r>
        <w:rPr>
          <w:rFonts w:hint="eastAsia" w:ascii="黑体" w:hAnsi="黑体"/>
          <w:color w:val="auto"/>
          <w:szCs w:val="24"/>
          <w:highlight w:val="none"/>
        </w:rPr>
        <w:t>2.发包人义务</w:t>
      </w:r>
      <w:bookmarkEnd w:id="673"/>
      <w:bookmarkEnd w:id="674"/>
      <w:bookmarkEnd w:id="675"/>
      <w:bookmarkEnd w:id="676"/>
      <w:bookmarkEnd w:id="677"/>
      <w:bookmarkEnd w:id="678"/>
    </w:p>
    <w:p w14:paraId="6AB300A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2.1  遵守法律</w:t>
      </w:r>
    </w:p>
    <w:p w14:paraId="16DD1F2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发包人在履行合同过程中应遵守法律，并保证设计人免于承担因发包人违反法律而引起的任何责任。</w:t>
      </w:r>
    </w:p>
    <w:p w14:paraId="41DECEF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2.2  发出开始设计通知</w:t>
      </w:r>
    </w:p>
    <w:p w14:paraId="6D069D8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发包人应按第6.1款的约定向设计人发出开始设计通知。</w:t>
      </w:r>
    </w:p>
    <w:p w14:paraId="2737210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2.3  办理证件和批件</w:t>
      </w:r>
    </w:p>
    <w:p w14:paraId="0F1EF0E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法律规定和（或）合同约定由发包人负责办理的工程建设项目必须履行的各类审批、核准或备案手续，发包人应按时办理，设计人应给予必要的协助。</w:t>
      </w:r>
    </w:p>
    <w:p w14:paraId="2AB1CF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法律规定和（或）合同约定由设计人负责办理的设计所需的证件和批件，发包人应给予必要的协助。</w:t>
      </w:r>
    </w:p>
    <w:p w14:paraId="410E86E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2.4  支付合同价款</w:t>
      </w:r>
    </w:p>
    <w:p w14:paraId="1BAE709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发包人应按合同约定向设计人及时支付合同价款。</w:t>
      </w:r>
    </w:p>
    <w:p w14:paraId="1131687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2.5  提供设计资料</w:t>
      </w:r>
    </w:p>
    <w:p w14:paraId="0402683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发包人应按第1.6.2项的约定向设计人提供设计资料。</w:t>
      </w:r>
    </w:p>
    <w:p w14:paraId="05312A9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  其他义务</w:t>
      </w:r>
    </w:p>
    <w:p w14:paraId="77D9014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2.6.1  发包人应严格履行基本建设程序，根据本工程的具体情况和技术要求，确定合理的设计工作量及合理的设计服务期限。</w:t>
      </w:r>
    </w:p>
    <w:p w14:paraId="07ACA9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2.6.2  发包人应组织专家或委托咨询单位对设计文件和为了满足设计需要而进行的各种研究试验成果进行审查，并负责设计文件的报审工作，向设计人提供上级主管部门对设计文件进行审查后的批复意见。对设计人在贯彻落实审查意见时提出的有关问题应及时认真予以解答，但并不免除设计人根据本合同规定应负的责任。</w:t>
      </w:r>
    </w:p>
    <w:p w14:paraId="3689FF0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2.6.3  发包人不应向设计人提出不符合工程安全生产法律、法规和工程建设强制性标准规定的要求。</w:t>
      </w:r>
    </w:p>
    <w:p w14:paraId="6B6A46E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2.6.4  由于执行发包人的书面指令而造成的设计质量事故应由发包人承担责任。</w:t>
      </w:r>
    </w:p>
    <w:p w14:paraId="28BD8AD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2.6.5  发包人应履行专用合同条款约定的其他义务。</w:t>
      </w:r>
    </w:p>
    <w:p w14:paraId="4BC0FAC7">
      <w:pPr>
        <w:pStyle w:val="68"/>
        <w:spacing w:line="360" w:lineRule="auto"/>
        <w:ind w:left="0" w:firstLine="0"/>
        <w:outlineLvl w:val="1"/>
        <w:rPr>
          <w:rFonts w:ascii="黑体" w:hAnsi="黑体"/>
          <w:color w:val="auto"/>
          <w:szCs w:val="24"/>
          <w:highlight w:val="none"/>
        </w:rPr>
      </w:pPr>
      <w:bookmarkStart w:id="679" w:name="_Toc16498"/>
      <w:bookmarkStart w:id="680" w:name="_Toc25199"/>
      <w:bookmarkStart w:id="681" w:name="_Toc28067"/>
      <w:bookmarkStart w:id="682" w:name="_Toc30751"/>
      <w:bookmarkStart w:id="683" w:name="_Toc22328"/>
      <w:bookmarkStart w:id="684" w:name="_Toc26993"/>
      <w:r>
        <w:rPr>
          <w:rFonts w:hint="eastAsia" w:ascii="黑体" w:hAnsi="黑体"/>
          <w:color w:val="auto"/>
          <w:szCs w:val="24"/>
          <w:highlight w:val="none"/>
        </w:rPr>
        <w:t>3.发包人管理</w:t>
      </w:r>
      <w:bookmarkEnd w:id="679"/>
      <w:bookmarkEnd w:id="680"/>
      <w:bookmarkEnd w:id="681"/>
      <w:bookmarkEnd w:id="682"/>
      <w:bookmarkEnd w:id="683"/>
      <w:bookmarkEnd w:id="684"/>
    </w:p>
    <w:p w14:paraId="35377C3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  发包人代表</w:t>
      </w:r>
    </w:p>
    <w:p w14:paraId="684CEDB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3.1.1  除专用合同条款另有约定外，发包人应在合同签订后14天内，将发包人代表的姓名、职务、联系方式、授权范围和授权期限书面通知设计人，由发包人代表在其授权范围和授权期限内，代表发包人行使权利、履行义务和处理合同履行中的具体事宜。发包人代表在授权范围内的行为由发包人承担法律责任。</w:t>
      </w:r>
    </w:p>
    <w:p w14:paraId="096AF77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3.1.2  发包人代表违反法律法规、违背职业道德守则或不按合同约定履行职责及义务，导致合同无法继续正常履行的，设计人有权通知发包人更换发包人代表。发包人收到通知后7天内，应核实完毕并将处理结果通知设计人。</w:t>
      </w:r>
    </w:p>
    <w:p w14:paraId="14043DC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3.1.3  发包人更换发包人代表的，应提前14天将更换人员的姓名、职务、联系方式、授权范围和授权期限书面通知设计人。</w:t>
      </w:r>
    </w:p>
    <w:p w14:paraId="57CEA73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3.1.4  发包人代表可以授权发包人的其他人员负责执行其指派的一项或多项工作。发包人代表应将被授权人员的姓名及其授权范围通知设计人。被授权人员在授权范围内发出的指示视为已得到发包人代表的同意，与发包人代表发出的指示具有同等效力。</w:t>
      </w:r>
    </w:p>
    <w:p w14:paraId="094F2BF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  监理人</w:t>
      </w:r>
    </w:p>
    <w:p w14:paraId="78F588D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3.2.1  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14:paraId="71C6C5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3.2.2  合同约定应由设计人承担的义务和责任，不因监理人对设计文件的审查或批准，以及为实施监理作出的指示等职务行为而减轻或解除。</w:t>
      </w:r>
    </w:p>
    <w:p w14:paraId="2152F12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  发包人的指示</w:t>
      </w:r>
    </w:p>
    <w:p w14:paraId="26489AD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3.3.1  发包人应按合同约定向设计人发出指示，发包人的指示应盖有发包人单位章，并由发包人代表签字确认。</w:t>
      </w:r>
    </w:p>
    <w:p w14:paraId="568A4B5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3.3.2  设计人收到发包人作出的指示后应遵照执行。指示构成变更的，应按第11条执行。</w:t>
      </w:r>
    </w:p>
    <w:p w14:paraId="0939B4C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3.3.3  在紧急情况下，发包人代表或其授权人员可以当场签发临时书面指示，设计人应遵照执行。发包人代表应在临时书面指示发出后24小时内发出书面确认函，逾期未发出书面确认函的，该临时书面指示应被视为发包人的正式指示。</w:t>
      </w:r>
    </w:p>
    <w:p w14:paraId="5059A3F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3.3.4  除专用合同条款另有约定外，设计人只从发包人代表或按第3.1.4项约定的被授权人员处取得指示。</w:t>
      </w:r>
    </w:p>
    <w:p w14:paraId="12BCBAE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3.3.5  由于发包人未能按合同约定发出指示、指示延误或指示错误而导致设计人费用增加和（或）周期延误的，发包人应承担由此增加的费用和（或）周期延误。</w:t>
      </w:r>
    </w:p>
    <w:p w14:paraId="76BED9E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3.4  决定或答复</w:t>
      </w:r>
    </w:p>
    <w:p w14:paraId="7353D5C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3.4.1  发包人在法律允许的范围内有权对设计人的设计工作和（或）设计文件作出处理决定，设计人应按照发包人的决定执行，涉及设计服务期限或设计费用等问题按第11条的约定处理。</w:t>
      </w:r>
    </w:p>
    <w:p w14:paraId="4A7ED4D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3.4.2  发包人应在专用合同条款约定的时间之内，对设计人书面提出的事项作出书面答复；逾期没有作出答复的，视为已获得发包人的批准。</w:t>
      </w:r>
    </w:p>
    <w:p w14:paraId="3EA279E4">
      <w:pPr>
        <w:pStyle w:val="68"/>
        <w:spacing w:line="360" w:lineRule="auto"/>
        <w:ind w:left="0" w:firstLine="0"/>
        <w:outlineLvl w:val="1"/>
        <w:rPr>
          <w:rFonts w:ascii="黑体" w:hAnsi="黑体"/>
          <w:color w:val="auto"/>
          <w:szCs w:val="24"/>
          <w:highlight w:val="none"/>
        </w:rPr>
      </w:pPr>
      <w:bookmarkStart w:id="685" w:name="_Toc4177"/>
      <w:bookmarkStart w:id="686" w:name="_Toc1649"/>
      <w:bookmarkStart w:id="687" w:name="_Toc23782"/>
      <w:bookmarkStart w:id="688" w:name="_Toc26191"/>
      <w:bookmarkStart w:id="689" w:name="_Toc12358"/>
      <w:bookmarkStart w:id="690" w:name="_Toc8919"/>
      <w:r>
        <w:rPr>
          <w:rFonts w:hint="eastAsia" w:ascii="黑体" w:hAnsi="黑体"/>
          <w:color w:val="auto"/>
          <w:szCs w:val="24"/>
          <w:highlight w:val="none"/>
        </w:rPr>
        <w:t>4.设计人义务</w:t>
      </w:r>
      <w:bookmarkEnd w:id="685"/>
      <w:bookmarkEnd w:id="686"/>
      <w:bookmarkEnd w:id="687"/>
      <w:bookmarkEnd w:id="688"/>
      <w:bookmarkEnd w:id="689"/>
      <w:bookmarkEnd w:id="690"/>
    </w:p>
    <w:p w14:paraId="5CF0B54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  设计人的一般义务</w:t>
      </w:r>
    </w:p>
    <w:p w14:paraId="6993F6B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4.1.1  遵守法律</w:t>
      </w:r>
    </w:p>
    <w:p w14:paraId="74EBF39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设计人在履行合同过程中应遵守法律，并保证发包人免于承担因设计人违反法律而引起的任何责任。</w:t>
      </w:r>
    </w:p>
    <w:p w14:paraId="6503949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4.1.2  依法纳税</w:t>
      </w:r>
    </w:p>
    <w:p w14:paraId="14F1ABD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设计人应按有关法律规定纳税，应缴纳的税金（含增值税）包括在合同价格之中。</w:t>
      </w:r>
    </w:p>
    <w:p w14:paraId="676867C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4.1.3  完成全部设计工作</w:t>
      </w:r>
    </w:p>
    <w:p w14:paraId="79446A1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按合同约定以及发包人要求，完成合同约定的全部工作，并对工作中的任何缺陷进行整改、完善和修补，使其满足合同约定的目的。设计人应按合同约定提供设计文件和相关服务，以及为完成设计服务所需的劳务、材料、设备、试验设施等，并应自行承担勘探场地临时设施的搭设、维护、管理和拆除。</w:t>
      </w:r>
    </w:p>
    <w:p w14:paraId="0A8A0FB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4.1.4  保证作业规范、安全和环保</w:t>
      </w:r>
    </w:p>
    <w:p w14:paraId="5E286F4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按法律、规范标准和发包人要求，采取各项有效措施，确保作业操作规范、安全、文明和环保，在风险性较大的环境中作业时应编制安全防护方案并制定应急预案，防止因作业造成的人身伤害和财产损失。</w:t>
      </w:r>
    </w:p>
    <w:p w14:paraId="0D8D795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对于设计人在设计过程中发生的人员伤亡或财产损失，或造成第三方的人员伤亡、财产损失，或由此而引起的其他一切损害和损失，发包人均不承担责任。</w:t>
      </w:r>
    </w:p>
    <w:p w14:paraId="454719B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4.1.5  避免勘探对公众与他人的利益造成损害</w:t>
      </w:r>
    </w:p>
    <w:p w14:paraId="2C4C5EB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在进行合同约定的各项工作时，不得侵害发包人与他人使用公用道路、水源、市政管网等公共设施的权利，避免对邻近的公共设施产生干扰，保证勘探场地的周边设施、建构筑物、地下管线、架空线和其他物体的安全运行。设计人占用或使用他人的施工场地，影响他人作业或生活的，应承担相应责任。</w:t>
      </w:r>
    </w:p>
    <w:p w14:paraId="32A266A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  其他义务</w:t>
      </w:r>
    </w:p>
    <w:p w14:paraId="367271B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  设计人对本合同工程设计质量承担设计使用年限内的终身责任。</w:t>
      </w:r>
    </w:p>
    <w:p w14:paraId="1234F72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4.1.6.2  在设计过程中，设计人应与本项目相干扰的铁路、航道、水利、管线、电力电信及其他相关建筑设施或特殊保护区域的主管部门进行协商，获得项目相干扰部门对推荐路线的认同意见、协议、批准文件或纪要等，以确保本项目顺利实施。</w:t>
      </w:r>
    </w:p>
    <w:p w14:paraId="22CAD58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4.1.6.3  设计人的设计文件应接受发包人、咨询单位及发包人的上级主管部门的审查，凡审查意见中提出的问题，设计人应逐条给予认真贯彻落实，提交书面的反馈意见并免费修改设计文件。</w:t>
      </w:r>
    </w:p>
    <w:p w14:paraId="4CED89A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4.1.6.4  设计人应按发包人要求的数量（符合规范要求）提供所有为完成设计所必需的研究试验阶段性或成果性报告，接受发包人或上级主管部门的审查，并对相关问题作出澄清和解答。</w:t>
      </w:r>
    </w:p>
    <w:p w14:paraId="2075D6B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4.1.6.5  设计人应履行合同约定的其他义务。</w:t>
      </w:r>
    </w:p>
    <w:p w14:paraId="3FA7938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4.2  履约保证金</w:t>
      </w:r>
    </w:p>
    <w:p w14:paraId="6F19BFE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4.2.1  除专用合同条款另有约定外，履约保证金自合同生效之日起生效，在最后一批设计成果文件经上级主管部门批复且设计人按照合同约定缴纳质量保证金之日起28天后失效。如果设计人不履行合同约定的义务或其履行不符合合同的约定，发包人有权扣划相应金额的履约保证金。</w:t>
      </w:r>
    </w:p>
    <w:p w14:paraId="1F0DEFD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4.2.2  发包人应在收到设计人缴纳的质量保证金后28天内将履约保证金退还给设计人。设计人拒绝按照本合同约定缴纳质量保证金的，发包人有权从设计费中扣留相应金额作为质量保证金。</w:t>
      </w:r>
    </w:p>
    <w:p w14:paraId="54034CC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4.2.3  发包人对履约保证金提出的任何索赔要求，均应在履约保证金有效期内提出。</w:t>
      </w:r>
    </w:p>
    <w:p w14:paraId="41B32A6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  分包和不得转包</w:t>
      </w:r>
    </w:p>
    <w:p w14:paraId="63D500B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4.3.1  设计人不得将其设计的全部工作转包给第三人。</w:t>
      </w:r>
    </w:p>
    <w:p w14:paraId="375BDD2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4.3.2  设计人不得将设计的主体、关键性工作分包给第三人。除专用合同条款另有约定外，经发包人同意，设计人可将工程设计中跨专业或有特殊要求的、设计工作进行分包。未列入竞包文件的设计工作，设计人不得分包。</w:t>
      </w:r>
    </w:p>
    <w:p w14:paraId="357D1DC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4.3.3  发包人同意设计人分包工作的，设计人应在分包合同签订之日起7天内向发包人提交1份分包合同副本，并对分包工作质量承担连带责任。除专用合同条款另有约定外，分包人的设计费用由设计人向分包人自行支付。</w:t>
      </w:r>
    </w:p>
    <w:p w14:paraId="5C074F2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4.3.4  分包人的资格能力应与其分包工作的标准和规模相适应，包括必要的企业资质、人员、设备和类似业绩等。分包人不得将分包项目再次分包或转包。</w:t>
      </w:r>
    </w:p>
    <w:p w14:paraId="5D93AD5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4.3.5  发包人对设计人与各分包人之间的法律和经济纠纷不承担任何责任和义务。</w:t>
      </w:r>
    </w:p>
    <w:p w14:paraId="7426A9C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4.4  联合体</w:t>
      </w:r>
    </w:p>
    <w:p w14:paraId="6F0E60E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4.4.1  联合体各方应共同与发包人签订合同。联合体各方应为履行合同承担连带责任。</w:t>
      </w:r>
    </w:p>
    <w:p w14:paraId="3001005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4.4.2  联合体协议经发包人确认后作为合同附件。在履行合同过程中，未经发包人同意，不得修改联合体协议。</w:t>
      </w:r>
    </w:p>
    <w:p w14:paraId="6F8F0A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4.4.3  联合体牵头人负责与发包人联系并接受指示，负责组织联合体各成员全面履行合同。发包人就本合同工程向联合体牵头人发布的任何指令、指示、通知等均对联合体其他成员具有同等效力。</w:t>
      </w:r>
    </w:p>
    <w:p w14:paraId="22E88E1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4.4.4  未经发包人同意，联合体的组成、结构与业务分工均不得变动。</w:t>
      </w:r>
    </w:p>
    <w:p w14:paraId="45F4A87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4.5  项目负责人</w:t>
      </w:r>
    </w:p>
    <w:p w14:paraId="2912055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4.5.1  设计人应按合同协议书的约定指派项目负责人，并在约定的期限内到职。设计人更换项目负责人应事先征得发包人同意，并应在更换14天前将拟更换的项目负责人姓名和详细资料提交发包人，拟更换的项目负责人资历应不低于原项目负责人。项目负责人2天内不能履行职责的，应事先征得发包人同意，并委派代表代行其职责。</w:t>
      </w:r>
    </w:p>
    <w:p w14:paraId="049F368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4.5.2  项目负责人应按合同约定以及发包人要求，负责组织合同工作的实施。在情况紧急且无法与发包人取得联系时，可采取保证工程和人员生命财产安全的紧急措施，并在采取措施后24小时内向发包人提交书面报告。</w:t>
      </w:r>
    </w:p>
    <w:p w14:paraId="32A3542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4.5.3  设计人为履行合同发出的一切函件均应盖有设计人单位章，并由设计人的项目负责人签字确认。</w:t>
      </w:r>
    </w:p>
    <w:p w14:paraId="5A2EEE4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4.5.4  按照专用合同条款约定，项目负责人可以授权其下属人员履行其某项职责，但事先应将这些人员的姓名和授权范围书面通知发包人。</w:t>
      </w:r>
    </w:p>
    <w:p w14:paraId="7C4695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  设计人员的管理</w:t>
      </w:r>
    </w:p>
    <w:p w14:paraId="5FFF7CA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4.6.1  设计人应在接到开始设计通知之日起7天内，向发包人提交设计项目机构以及人员安排的报告，其内容应包括项目机构设置、主要设计人员和其他人员的名单及资格条件。主要设计人员应相对稳定，更换主要设计人员的，应取得发包人的同意，并向发包人提交继任人员的资格、管理经验等资料，继任人员的资历应不低于原设计人员。项目负责人的更换，应按照本章第4.5.1项规定执行。</w:t>
      </w:r>
    </w:p>
    <w:p w14:paraId="1112AB1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4.6.2  除专用合同条款另有约定外，主要设计人员包括项目负责人、专业负责人、审核人、审定人等；其他人员包括作业人员、各专业的设计人员、管理人员等。</w:t>
      </w:r>
    </w:p>
    <w:p w14:paraId="65D77B2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4.6.3  设计人应保证其主要设计人员（含分包人）在合同期限内的任何时候，都能按时参加发包人组织的工作会议。</w:t>
      </w:r>
    </w:p>
    <w:p w14:paraId="08FB61E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4.6.4  国家规定应当持证上岗的工作人员均应持有相应的资格证明，发包人有权随时检查。发包人认为有必要时，可以进行现场考核。</w:t>
      </w:r>
    </w:p>
    <w:p w14:paraId="49665C0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4.6.5  设计人的工作进度未达到设计人竞包文件中承诺的进度计划时，发包人有权要求设计人增加设计人员，设计人应立即安排，其费用视为已包含在合同价格中。</w:t>
      </w:r>
    </w:p>
    <w:p w14:paraId="63CEE1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4.7  撤换项目负责人和其他人员</w:t>
      </w:r>
    </w:p>
    <w:p w14:paraId="210019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设计人应对其项目负责人和其他人员进行有效管理。发包人要求撤换不能胜任本职工作、行为不端或玩忽职守的项目负责人和其他人员的，设计人应予以撤换。</w:t>
      </w:r>
    </w:p>
    <w:p w14:paraId="19D1C29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  保障人员的合法权益</w:t>
      </w:r>
    </w:p>
    <w:p w14:paraId="24EA5B9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4.8.1  设计人应与其雇用的人员签订劳动合同，并按时发放工资。</w:t>
      </w:r>
    </w:p>
    <w:p w14:paraId="07CA137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4.8.2  设计人应按劳动法的规定安排工作时间，保证其雇用人员享有休息和休假的权利。因设计需要占用休假日或延长工作时间的，应不超过法律规定的限度，并按法律规定给予补休或付酬。</w:t>
      </w:r>
    </w:p>
    <w:p w14:paraId="1B44D90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4.8.3  设计人应为其现场人员提供必要的食宿条件，以及符合环境保护和卫生要求的生活环境，在远离城镇的勘探场地，还应配备必要的伤病防治和急救设施。</w:t>
      </w:r>
    </w:p>
    <w:p w14:paraId="1CBE6BB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4.8.4  设计人应按国家有关劳动保护的规定，采取有效的防止粉尘、降低噪声、控制有害气体和保障高温、高寒、高空作业安全等劳动保护措施。其雇用人员在勘探作业中受到伤害的，设计人应立即采取有效措施进行抢救和治疗。</w:t>
      </w:r>
    </w:p>
    <w:p w14:paraId="03D947E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4.8.5  设计人应按有关法律规定和合同约定，为其雇用人员办理保险。</w:t>
      </w:r>
    </w:p>
    <w:p w14:paraId="0D065E1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4.9  合同价款应专款专用</w:t>
      </w:r>
    </w:p>
    <w:p w14:paraId="54FC12F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发包人按合同约定支付给设计人的各项价款，应专用于合同设计工作。</w:t>
      </w:r>
    </w:p>
    <w:p w14:paraId="4A3273F7">
      <w:pPr>
        <w:pStyle w:val="68"/>
        <w:spacing w:line="360" w:lineRule="auto"/>
        <w:ind w:left="0" w:firstLine="0"/>
        <w:outlineLvl w:val="1"/>
        <w:rPr>
          <w:rFonts w:ascii="黑体" w:hAnsi="黑体"/>
          <w:color w:val="auto"/>
          <w:szCs w:val="24"/>
          <w:highlight w:val="none"/>
        </w:rPr>
      </w:pPr>
      <w:bookmarkStart w:id="691" w:name="_Toc5562"/>
      <w:bookmarkStart w:id="692" w:name="_Toc19765"/>
      <w:bookmarkStart w:id="693" w:name="_Toc23085"/>
      <w:bookmarkStart w:id="694" w:name="_Toc26724"/>
      <w:bookmarkStart w:id="695" w:name="_Toc27995"/>
      <w:bookmarkStart w:id="696" w:name="_Toc11247"/>
      <w:r>
        <w:rPr>
          <w:rFonts w:hint="eastAsia" w:ascii="黑体" w:hAnsi="黑体"/>
          <w:color w:val="auto"/>
          <w:szCs w:val="24"/>
          <w:highlight w:val="none"/>
        </w:rPr>
        <w:t>5.设计要求</w:t>
      </w:r>
      <w:bookmarkEnd w:id="691"/>
      <w:bookmarkEnd w:id="692"/>
      <w:bookmarkEnd w:id="693"/>
      <w:bookmarkEnd w:id="694"/>
      <w:bookmarkEnd w:id="695"/>
      <w:bookmarkEnd w:id="696"/>
    </w:p>
    <w:p w14:paraId="5E3E791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  一般要求</w:t>
      </w:r>
    </w:p>
    <w:p w14:paraId="68E8D81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  发包人应遵守法律和规范标准，不得以任何理由要求设计人违反法律和工程质量、安全标准进行设计服务，降低工程质量。</w:t>
      </w:r>
    </w:p>
    <w:p w14:paraId="5399CCD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  设计人应按照法律规定，以及国家、行业和地方的规范和标准完成设计工作，并应符合发包人要求。各项规范、标准和发包人要求之间如对同一内容的描述不一致时，应以描述更为严格的内容为准。</w:t>
      </w:r>
    </w:p>
    <w:p w14:paraId="29448A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  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7天内发出是否遵守新规定的指示。发包人指示遵守新规定的，按照第11条约定执行。</w:t>
      </w:r>
    </w:p>
    <w:p w14:paraId="3004C8B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5.1.4  设计人在设计服务中选用的材料、设备，应注明其规格、型号、性能等技术指标及适应性，满足质量、安全、节能、环保等要求，但不得指定生产厂、供应商和产品品牌。</w:t>
      </w:r>
    </w:p>
    <w:p w14:paraId="73D494A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5.1.5  设计人必须贯彻“技术先进、安全可靠、适用耐久、经济合理”的基本原则，加强总体设计，重视与城镇建设总体规划、土地开发利用规划、农田水利、森林植被、水土保持、生态环境、特殊设施保护区、其他运输方式和其他建设工程的总体协调和配合，节约资源、保护环境、合理选用技术指标、树立全寿命周期成本的理念，充分发挥工程建设项目经济、社会和环境的综合效益。</w:t>
      </w:r>
    </w:p>
    <w:p w14:paraId="57620A0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5.2  设计依据</w:t>
      </w:r>
    </w:p>
    <w:p w14:paraId="1AE977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除专用合同条款另有约定外，本工程的设计依据如下：</w:t>
      </w:r>
    </w:p>
    <w:p w14:paraId="6F943BB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（1）适用的法律、行政法规及部门规章；</w:t>
      </w:r>
    </w:p>
    <w:p w14:paraId="661D95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（2）与工程有关的规范、标准、规程；</w:t>
      </w:r>
    </w:p>
    <w:p w14:paraId="1FAF901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（3）工程基础资料及其他文件；</w:t>
      </w:r>
    </w:p>
    <w:p w14:paraId="4C100A2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（4）本设计服务合同及补充合同；</w:t>
      </w:r>
    </w:p>
    <w:p w14:paraId="60ABCE3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（5）本工程施工需求；</w:t>
      </w:r>
    </w:p>
    <w:p w14:paraId="2F0D63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（6）合同履行中与设计服务有关的来往函件；</w:t>
      </w:r>
    </w:p>
    <w:p w14:paraId="25D8750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（7）其他设计依据。</w:t>
      </w:r>
    </w:p>
    <w:p w14:paraId="591258B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  设计范围</w:t>
      </w:r>
    </w:p>
    <w:p w14:paraId="35C9EB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5.3.1  本合同的设计范围包括工程范围、阶段范围和工作范围，具体设计范围应根据三者之间的关联内容进行确定。</w:t>
      </w:r>
    </w:p>
    <w:p w14:paraId="1E4C68D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5.3.2  工程范围指设计工程的建设内容，具体范围在专用合同条款中约定。</w:t>
      </w:r>
    </w:p>
    <w:p w14:paraId="15FDF74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5.3.3  阶段范围指工程建设程序中的可行性研究勘察、初步勘察、详细勘察、施工勘察、方案设计、初步设计、技术设计（如有）、施工图设计等阶段中的一个或多个阶段，具体范围在专用合同条款中约定。</w:t>
      </w:r>
    </w:p>
    <w:p w14:paraId="5068AAB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5.3.4  工作范围指工程测量、岩土工程勘察、岩土工程设计（如有），编制设计文件，编制设计概算、预算，提供技术交底、发包与施工配合，编制竣工图，参加交工验收、参加竣工验收和发包人委托的其他服务中的一项或多项工作，具体范围在专用合同条款中约定。</w:t>
      </w:r>
    </w:p>
    <w:p w14:paraId="59329A0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  勘察作业要求</w:t>
      </w:r>
    </w:p>
    <w:p w14:paraId="35B8A07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5.4.1  测绘</w:t>
      </w:r>
    </w:p>
    <w:p w14:paraId="58FB9FD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除专用合同条款另有约定外，发包人应在开始勘察前7天内，向设计人提供测量基准点、水准点和书面资料等；设计人应根据国家测绘基准、测绘系统和工程测量技术规范，按发包人要求的基准点以及合同工程精度要求，进行测绘。</w:t>
      </w:r>
    </w:p>
    <w:p w14:paraId="642168B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（2）设计人测绘之前，应认真核对测绘数据，保证引用数据和原始数据准确无误。测绘工作应由测量人员如实记录，不得补记、涂改或损坏。</w:t>
      </w:r>
    </w:p>
    <w:p w14:paraId="28DEF61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（3）工程勘探之前，设计人应严格按照勘察方案的孔位坐标，进行测量放线并在实地位置定位，埋设带有编号且不易移动的标志桩进行定位控制。</w:t>
      </w:r>
    </w:p>
    <w:p w14:paraId="3F06864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5.4.2  勘探</w:t>
      </w:r>
    </w:p>
    <w:p w14:paraId="6E096DA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人应根据公路基本建设程序各阶段要求的深度开展工作，结合现场地形地质条件、工程结构设置以及不同勘察手段的特性等，统筹考虑、综合确定勘察方法及勘察工作量，为完成合同约定的设计任务创造条件。设计人对于勘察方法的正确性、适用性和可靠性完全负责。</w:t>
      </w:r>
    </w:p>
    <w:p w14:paraId="723866D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布置勘探工作时，应充分考虑勘探方法对于自然环境、周边设施、建构筑物、地下管线、架空线和其他物体的影响，采用切实有效的措施进行防范控制，不得造成损坏或中断运行，否则由此导致的费用增加和（或）周期延误由设计人自行承担。</w:t>
      </w:r>
    </w:p>
    <w:p w14:paraId="3D5792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（3）设计人应在标定的孔位处进行勘探，不得随意改动位置。勘探方法、勘探机具、勘探记录、取样编录与描述，孔位标记、孔位封闭等事项，应严格执行规范标准，按实填写勘探报表和勘探日志。</w:t>
      </w:r>
    </w:p>
    <w:p w14:paraId="0876E4D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勘探工作完成后，设计人应按照规范要求及时封孔，并将封孔记录整理存档，勘探场地应地面平整、清洁卫生，并通知发包人、行政主管部门及使用维护单位进行现场验收。验收通过之后如果发生沉陷，设计人应及时进行二次封孔和现场验收。</w:t>
      </w:r>
    </w:p>
    <w:p w14:paraId="044B2B2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5.4.3  取样</w:t>
      </w:r>
    </w:p>
    <w:p w14:paraId="6F684BE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（1）设计人应针对不同的岩土地质，按照勘探取样规范规程中的相关规定，根据地层特征、取样深度、设备条件和试验项目的不同，合理选用取样方法和取样工具进行取样，包括并不限于土样、水样、岩芯等。</w:t>
      </w:r>
    </w:p>
    <w:p w14:paraId="7B3DA23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取样后的样品应根据其类别、性质和特点等进行封装、贮存和运输。样品搬运之前，宜用数码相机进行现场拍照；运输途中应采用柔软材料充填、尽量避免震动和阳光曝晒；装卸之时尽量轻拿轻放，以免样品损坏。</w:t>
      </w:r>
    </w:p>
    <w:p w14:paraId="1190434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（3）取样后的样品应填写和粘贴标签，标签内容包括并不限于工程名称、孔号、样品编号、取样深度、样品名称、取样日期、取样人姓名、施工机组等。</w:t>
      </w:r>
    </w:p>
    <w:p w14:paraId="6216773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5.4.4  试验</w:t>
      </w:r>
    </w:p>
    <w:p w14:paraId="2082592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（1）设计人应根据岩土条件、设计要求、勘察经验和测试方法特点，选用合适的原位测试方法和勘察设备进行原位测试。原位测试成果应与室内试验数据进行对比分析，检验其可靠性。</w:t>
      </w:r>
    </w:p>
    <w:p w14:paraId="3E7D0ED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（2）设计人的试验室应通过行业管理部门认可的CMA计量认证，具有相应的资格证书、试验人员和试验条件，否则应委托第三方试验室进行室内试验。</w:t>
      </w:r>
    </w:p>
    <w:p w14:paraId="6BF8BB7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设计人应在试验之前按照要求清点样品数目，认定取样质量及数量是否满足试验需要；勘察设备应检定合格，性能参数满足试验要求，严格按照规范标准的相应规定进行试验操作；试验之后应在有效期内保留备样，以备复核试验成果之用，并按规范标准规定处理余土和废液，符合环境保护、健康卫生等要求。</w:t>
      </w:r>
    </w:p>
    <w:p w14:paraId="0867FE4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（4）试验报告的格式应符合CMA计量认证体系要求，加盖CMA章并由试验负责人签字确认；试验负责人应通过计量认证考核，并由项目负责人授权许可。</w:t>
      </w:r>
    </w:p>
    <w:p w14:paraId="523E38C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5.4.5  其他要求</w:t>
      </w:r>
    </w:p>
    <w:p w14:paraId="5E4BE7D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（1）设计人应在勘察过程中重视地质环境对安全的影响，提交的勘察报告应真实、准确、可靠，满足工程安全生产的需要，并对勘察结论负责。</w:t>
      </w:r>
    </w:p>
    <w:p w14:paraId="0B4627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（2）设计人应对有可能引发公路工程安全隐患的地质灾害提出防治建议。</w:t>
      </w:r>
    </w:p>
    <w:p w14:paraId="3B7F3F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（3）工程勘察布点应参考发包人提供的资料。勘探点的数量、深度和位置可根据地质情况和现场条件依据规范进行调整，但应经发包人同意和批准。</w:t>
      </w:r>
    </w:p>
    <w:p w14:paraId="0214B9B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（4）勘探过程中应认真记录每日工作内容，保存原始记录资料与数据，以供发包人检查和分析。</w:t>
      </w:r>
    </w:p>
    <w:p w14:paraId="6295570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（5）在钻探过程中，如发包人根据规范需要更改取样间距与现场试验的要求，或更改钻孔深度，设计人应积极配合并安排实施。</w:t>
      </w:r>
    </w:p>
    <w:p w14:paraId="7583C72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设计人在钻探过程中应对地下管线和构筑物进行相应保护，遇到地下文物时应及时向发包人和文物保护部门汇报并妥善保护。设计人在钻探过程中应采取有效的环境保护措施，避免对周围环境造成破坏或污染。</w:t>
      </w:r>
    </w:p>
    <w:p w14:paraId="24E9FAB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设计人在进行外业勘察时，应采取有效措施避免对原有道路、桥梁、构造物及其他公共设施或地上附着物造成损坏或损伤。如造成损坏或损伤而引起的一切索赔、赔偿、诉讼费用和其他费用，由设计人自行承担。</w:t>
      </w:r>
    </w:p>
    <w:p w14:paraId="7B71555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5.5  勘察设备要求</w:t>
      </w:r>
    </w:p>
    <w:p w14:paraId="61D45A5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5.5.1  设计人应按合同进度计划的要求，及时配置勘察设备进行作业。设计人更换合同约定的勘察设备的，应报发包人批准。</w:t>
      </w:r>
    </w:p>
    <w:p w14:paraId="08FEFC2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5.5.2  设计人应按照规范要求，及时维修、保养或更换勘察设备，包括并不限于钻机、触探仪、全站仪、水准仪、探测仪、测井平台、天平、固结仪、振筛机、干燥箱、直剪仪、收缩仪、膨胀仪、渗透仪等，保证勘察设备能够随时进场使用。</w:t>
      </w:r>
    </w:p>
    <w:p w14:paraId="7972029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5.5.3  设计人使用的勘察设备不能满足合同进度计划和（或）质量要求时，发包人有权要求设计人增加或更换勘察设备，设计人应及时增加或更换，由此增加的费用和（或）周期延误由设计人自行承担。</w:t>
      </w:r>
    </w:p>
    <w:p w14:paraId="44E74C7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  临时占地和设施要求</w:t>
      </w:r>
    </w:p>
    <w:p w14:paraId="75B8339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5.6.1  设计人应根据设计服务方案制订临时占地计划，报请发包人批准。</w:t>
      </w:r>
    </w:p>
    <w:p w14:paraId="0E2F439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5.6.2  位于本工程区域内的临时占地，由发包人协调提供。位于道路、绿化或者其他市政设施内的临时占地，由设计人向行政管理部门报建申请，按照要求制订占地施工方案，并据此实施。</w:t>
      </w:r>
    </w:p>
    <w:p w14:paraId="78E0D7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5.6.3  临时占地使用完毕后，设计人应按照发包人要求或行政管理部门规定恢复临时占地。如果恢复或清理标准不能满足要求的，发包人有权委托他人代为恢复或清理，由此发生的费用从拟支付给设计人的设计费用中扣除。</w:t>
      </w:r>
    </w:p>
    <w:p w14:paraId="2E43EA2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5.6.4  设计人应配备或搭设足够的临时设施，保证勘探工作能够正常开展。临时设施包括并不限于施工围挡、交通疏导设施、安全防范设施、钻机防护设施、安全文明施工设施、办公生活用房、取样存放场所等。</w:t>
      </w:r>
    </w:p>
    <w:p w14:paraId="1CC851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5.6.5  临时设施应满足规范标准、发包人要求和行政管理部门的规定等。除专用合同条款另有约定外，临时设施的修建、拆除和恢复费用由设计人自行承担。</w:t>
      </w:r>
    </w:p>
    <w:p w14:paraId="1BE7149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  安全作业要求</w:t>
      </w:r>
    </w:p>
    <w:p w14:paraId="77F646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5.7.1  设计人应按合同约定履行安全职责，执行发包人有关安全工作的指示，并在专用合同条款约定的期限内，按合同约定的安全工作内容，编制安全措施计划报送发包人批准。</w:t>
      </w:r>
    </w:p>
    <w:p w14:paraId="114E2DF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5.7.2  设计人应严格执行操作规程，采取有效措施保证道路、桥梁、交通安全设施、建构筑物、地下管线、架空线和其他周边设施等安全正常地运行。</w:t>
      </w:r>
    </w:p>
    <w:p w14:paraId="4752E3D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5.7.3  设计人应按照法律、法规和工程建设强制性标准进行勘察，加强勘察作业安全管理，特别加强易燃、易爆材料、火工器材、有毒与腐蚀性材料和其他危险品的管理。</w:t>
      </w:r>
    </w:p>
    <w:p w14:paraId="43F04A7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5.7.4  设计人应严格按照国家安全标准制定施工安全操作规程，配备必要的安全生产和劳动保护设施，加强对设计人人员的安全教育，并且发放安全工作手册和劳动保护用具。</w:t>
      </w:r>
    </w:p>
    <w:p w14:paraId="17445B3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5.7.5  设计人应按发包人的指示制订应对灾害的紧急预案，报送发包人批准。设计人还应按预案做好安全检查，配置必要的救助物资和器材，切实保护好有关人员的人身和财产安全。</w:t>
      </w:r>
    </w:p>
    <w:p w14:paraId="2B3577D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5.7.6  设计人应对其履行合同所雇用的全部人员，包括分包人人员的工伤事故承担责任，但由于发包人原因造成设计人人员工伤事故的，应由发包人承担责任。</w:t>
      </w:r>
    </w:p>
    <w:p w14:paraId="3CC379D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5.7.7  由于设计人原因在施工场地内及其毗邻地带造成的第三者人员伤亡和财产损失，由设计人负责赔偿。</w:t>
      </w:r>
    </w:p>
    <w:p w14:paraId="3E4FEB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5.8  环境保护要求</w:t>
      </w:r>
    </w:p>
    <w:p w14:paraId="2EBB4F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5.8.1 设计人在履行合同过程中，应遵守有关环境保护的法律，履行合同约定的环境保护义务，并对违反法律和合同约定义务所造成的环境破坏、人身伤害和财产损失负责。</w:t>
      </w:r>
    </w:p>
    <w:p w14:paraId="13669E7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5.8.2 设计人应按合同约定的环保工作内容，编制环保措施计划，报送发包人批准。</w:t>
      </w:r>
    </w:p>
    <w:p w14:paraId="4BE54DC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5.8.3  设计人应确保勘探过程中产生的气体排放物、粉尘、噪声、地面排水及排污等，符合法律规定和发包人要求。</w:t>
      </w:r>
    </w:p>
    <w:p w14:paraId="4BDFD0A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5.9  事故处理要求</w:t>
      </w:r>
    </w:p>
    <w:p w14:paraId="65AE3F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5.9.1 合同履行过程中发生事故的，设计人应立即通知发包人。</w:t>
      </w:r>
    </w:p>
    <w:p w14:paraId="32E9C2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5.9.2 发包人和设计人应立即组织人员和设备进行紧急抢救和抢修，减少人员伤亡和财产损失，防止事故扩大，并保护事故现场。需要移动现场物品时，应作出标记和书面记录，妥善保管有关证据。发包人和设计人应按国家有关规定，及时如实地向有关部门报告事故发生的情况，以及正在采取的紧急措施等。</w:t>
      </w:r>
    </w:p>
    <w:p w14:paraId="24C657E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  设计文件要求</w:t>
      </w:r>
    </w:p>
    <w:p w14:paraId="2473439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5.10.1 设计文件的编制应符合法律法规、规范标准的强制性规定和发包人要求，相关设计依据应完整、准确、可靠，设计方案论证充分，计算成果规范可靠，并能够实施。</w:t>
      </w:r>
    </w:p>
    <w:p w14:paraId="74DA4C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5.10.2 设计服务应根据法律、规范标准和发包人要求，保证工程的合理使用寿命年限，并在设计文件中予以注明。</w:t>
      </w:r>
    </w:p>
    <w:p w14:paraId="626C12E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5.10.3 设计文件的深度应满足本合同相应设计阶段的规定要求，满足发包人的下步工作需要，并应符合国家和行业现行规定。</w:t>
      </w:r>
    </w:p>
    <w:p w14:paraId="31B24A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5.10.4 设计文件必须保证工程质量和施工安全等方面的要求，按照有关法律法规规定在设计文件中提出保障施工作业人员安全和预防生产安全事故的措施建议。</w:t>
      </w:r>
    </w:p>
    <w:p w14:paraId="172761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5.10.5 设计文件必须符合下列要求：</w:t>
      </w:r>
    </w:p>
    <w:p w14:paraId="3AACDF6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（1）设计文件的编制必须严格执行国家基本建设程序、工程建设标准强制性条文及有关公路工程建设的法律、法规、规章、规范、标准、规程、定额和合同的要求。</w:t>
      </w:r>
    </w:p>
    <w:p w14:paraId="495ABAB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文件的编制须符合国民经济、社会发展规划和产业政策，贯彻提高社会经济效益和促进技术进步的方针，实行资源综合利用，节约资源和能源，符合国家自然风景区、城市、集镇、村庄规划和相关专业规划，符合国家有关劳动安全卫生、消防、抗震、人防规定。</w:t>
      </w:r>
    </w:p>
    <w:p w14:paraId="4BCFC6E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（3）设计文件必须保证工程质量和安全的要求，符合安全、适用、耐久、经济、美观的综合要求；并应特别注意沿线景观及沿线设施的协调性和符合环境保护、水土保持的要求。</w:t>
      </w:r>
    </w:p>
    <w:p w14:paraId="23ED2C0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5.10.6 设计人应根据批复的可行性研究报告和交通运输部《公路工程基本建设项目设计文件编制办法》规定的设计深度</w:t>
      </w:r>
      <w:r>
        <w:rPr>
          <w:rFonts w:hint="eastAsia" w:ascii="宋体" w:hAnsi="宋体" w:cs="宋体"/>
          <w:color w:val="auto"/>
          <w:kern w:val="0"/>
          <w:szCs w:val="21"/>
          <w:highlight w:val="none"/>
        </w:rPr>
        <w:footnoteReference w:id="1"/>
      </w:r>
      <w:r>
        <w:rPr>
          <w:rFonts w:hint="eastAsia" w:ascii="宋体" w:hAnsi="宋体" w:cs="宋体"/>
          <w:color w:val="auto"/>
          <w:kern w:val="0"/>
          <w:szCs w:val="21"/>
          <w:highlight w:val="none"/>
        </w:rPr>
        <w:t>完成初步设计工作。初步设计文件经审查批复后，作为编制施工图设计文件和控制建设项目投资的依据。</w:t>
      </w:r>
    </w:p>
    <w:p w14:paraId="759E6BA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5.10.7 若发包人或发包人上级主管部门认为需要进行技术设计，设计人应根据发包人要求，按交通运输部《公路工程基本建设项目设计文件编制办法》有关规定编制技术设计文件和修正概算，并通过发包人上级主管部门的审查。如果发包人在发包阶段已明确本项目包括技术设计并且在报价清单中已列有相应报价子目，则按设计人在报价清单中所报的相应费用支付；否则，对于发包人在项目实施过程中提出的技术设计，发包人应另行支付费用。</w:t>
      </w:r>
    </w:p>
    <w:p w14:paraId="74D9FD3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5.10.8 设计人应按批准的初步设计完成施工图设计工作，并接受发包人、咨询单位及发包人上级主管部门对施工图设计文件的审查，按审查意见修改施工图设计文件。设计人应在发包人规定的时间内完成施工图预算的编制，施工图设计文件及施工图预算应按各施工标段进行编制。施工图设计文件批复后，则作为编制施工发包文件的依据。</w:t>
      </w:r>
    </w:p>
    <w:p w14:paraId="3E0AB45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5.10.9 当发包人、咨询单位或上级主管部门认为需调用设计人的设计计算书时，设计人必须及时提供。</w:t>
      </w:r>
    </w:p>
    <w:p w14:paraId="26710CD0">
      <w:pPr>
        <w:pStyle w:val="68"/>
        <w:spacing w:line="360" w:lineRule="auto"/>
        <w:ind w:left="0" w:firstLine="0"/>
        <w:outlineLvl w:val="1"/>
        <w:rPr>
          <w:rFonts w:ascii="黑体" w:hAnsi="黑体"/>
          <w:color w:val="auto"/>
          <w:szCs w:val="24"/>
          <w:highlight w:val="none"/>
        </w:rPr>
      </w:pPr>
      <w:bookmarkStart w:id="697" w:name="_Toc5676"/>
      <w:bookmarkStart w:id="698" w:name="_Toc20306"/>
      <w:bookmarkStart w:id="699" w:name="_Toc28614"/>
      <w:bookmarkStart w:id="700" w:name="_Toc10655"/>
      <w:bookmarkStart w:id="701" w:name="_Toc14269"/>
      <w:bookmarkStart w:id="702" w:name="_Toc32239"/>
      <w:r>
        <w:rPr>
          <w:rFonts w:hint="eastAsia" w:ascii="黑体" w:hAnsi="黑体"/>
          <w:color w:val="auto"/>
          <w:szCs w:val="24"/>
          <w:highlight w:val="none"/>
        </w:rPr>
        <w:t>6.开始设计</w:t>
      </w:r>
      <w:r>
        <w:rPr>
          <w:rFonts w:ascii="黑体" w:hAnsi="黑体"/>
          <w:color w:val="auto"/>
          <w:szCs w:val="24"/>
          <w:highlight w:val="none"/>
        </w:rPr>
        <w:t>和完成</w:t>
      </w:r>
      <w:bookmarkEnd w:id="697"/>
      <w:bookmarkEnd w:id="698"/>
      <w:bookmarkEnd w:id="699"/>
      <w:bookmarkEnd w:id="700"/>
      <w:bookmarkEnd w:id="701"/>
      <w:bookmarkEnd w:id="702"/>
      <w:r>
        <w:rPr>
          <w:rFonts w:hint="eastAsia" w:ascii="黑体" w:hAnsi="黑体"/>
          <w:color w:val="auto"/>
          <w:szCs w:val="24"/>
          <w:highlight w:val="none"/>
        </w:rPr>
        <w:t>设计</w:t>
      </w:r>
    </w:p>
    <w:p w14:paraId="2DEA760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  开始设计</w:t>
      </w:r>
    </w:p>
    <w:p w14:paraId="65D1263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6.1.1 符合专用合同条款约定的开始设计条件的，发包人应提前7天向设计人发出开始设计通知。设计服务期限自开始设计通知中载明的开始设计日期起计算。设计服务周期安排在专用合同条款中约定。</w:t>
      </w:r>
    </w:p>
    <w:p w14:paraId="1BD16E3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6.1.2 除专用合同条款另有约定外，因发包人原因造成合同签订之日起90天内未能发出开始设计通知的，设计人有权提出价格调整要求，或者解除合同。发包人应承担由此增加的费用和（或）周期延误。</w:t>
      </w:r>
    </w:p>
    <w:p w14:paraId="286435D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6.1.3 设计人应在接到中包通知书后14天内，针对设计各个阶段工作内容向发包人提交具有可实施性、分项目的设计详细工作大纲及进度计划，以及为完成本计划而建议采用的措施和说明（含电子文件一份），经批准后作为设计合同文件的组成部分，是发包人对设计进行项目管理的依据之一。</w:t>
      </w:r>
    </w:p>
    <w:p w14:paraId="44A6924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6.1.4 发包人对设计人设计详细工作大纲及进度计划详细工作大纲的审查，并不免除设计人对本项目设计应承担的责任。</w:t>
      </w:r>
    </w:p>
    <w:p w14:paraId="3971876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6.1.5 设计人应在每月月底向发包人提供进度报告，说明该月工作进展情况及下月计划安排，并根据发包人要求，参加发包人组织的月度工作例会。</w:t>
      </w:r>
    </w:p>
    <w:p w14:paraId="397B6F9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6.2  发包人引起的周期延误</w:t>
      </w:r>
    </w:p>
    <w:p w14:paraId="4A723A6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在履行合同过程中，由于发包人的下列原因造成设计服务期限延误的，发包人应延长设计服务期限并增加设计费用，具体方法在专用合同条款中约定。</w:t>
      </w:r>
    </w:p>
    <w:p w14:paraId="3B283DA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（1）合同变更；</w:t>
      </w:r>
    </w:p>
    <w:p w14:paraId="0A8C87F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（2）未按合同约定期限及时答复设计事项；</w:t>
      </w:r>
    </w:p>
    <w:p w14:paraId="321CDA3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（3）因发包人原因导致的暂停设计；</w:t>
      </w:r>
    </w:p>
    <w:p w14:paraId="3245072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（4）未按合同约定及时支付设计费用；</w:t>
      </w:r>
    </w:p>
    <w:p w14:paraId="38D3AF4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（5）发包人提供的基准资料错误；</w:t>
      </w:r>
    </w:p>
    <w:p w14:paraId="64F4CF6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（6）未及时履行合同约定的相关义务；</w:t>
      </w:r>
    </w:p>
    <w:p w14:paraId="06C989D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（7）未能按照合同约定期限对设计文件进行审查；</w:t>
      </w:r>
    </w:p>
    <w:p w14:paraId="6DEF778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（8）发包人造成周期延误的其他原因。</w:t>
      </w:r>
    </w:p>
    <w:p w14:paraId="1F0BD67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6.3  设计人引起的周期延误</w:t>
      </w:r>
    </w:p>
    <w:p w14:paraId="3CCC2B5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由于设计人原因造成周期延误，设计人应支付逾期违约金。逾期违约金的计算方法和最高限额在专用合同条款中约定。</w:t>
      </w:r>
    </w:p>
    <w:p w14:paraId="21A83D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6.4  行政管理部门引起的周期延误</w:t>
      </w:r>
    </w:p>
    <w:p w14:paraId="1A13C4E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由于行政管理部门审查延迟原因造成费用增加和（或）周期延误的，由发包人承担。</w:t>
      </w:r>
    </w:p>
    <w:p w14:paraId="46733F4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  非人为因素引起的周期延误</w:t>
      </w:r>
    </w:p>
    <w:p w14:paraId="44486CC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6.5.1 由于出现专用合同条款规定的异常恶劣气候条件、不利物质条件等因素导致周期延误的，设计人有权要求发包人延长周期和（或）增加费用。</w:t>
      </w:r>
    </w:p>
    <w:p w14:paraId="311F95F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6.5.2 设计人发现地下文物或化石时，应按规定及时报告发包人和文物保护部门，并采取有效措施进行保护；设计人有权要求发包人延长周期和（或）增加费用。</w:t>
      </w:r>
    </w:p>
    <w:p w14:paraId="7D72B8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  完成设计</w:t>
      </w:r>
    </w:p>
    <w:p w14:paraId="076F7BA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6.6.1 设计人完成设计服务之后，应根据法律、规范标准、合同约定和发包人要求编制设计文件。</w:t>
      </w:r>
    </w:p>
    <w:p w14:paraId="73226CC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6.6.2 设计文件是工程设计的最终成果和施工的重要依据，应根据本工程的设计内容和不同阶段的设计任务、目的和要求等进行编制。设计文件的内容和深度应满足对应阶段的规范要求。</w:t>
      </w:r>
    </w:p>
    <w:p w14:paraId="4170BEA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6.6.3 除专用合同条款另有约定外，设计文件包括纸质文件和电子文件两种形式，两者若有不一致时，应以纸质文件为准。纸质文件一式八份，应加盖单位章和项目负责人注册执业印章；电子文件中的文字为WORD格式、图形为CAD格式，并应使用光盘和U盘分别贮存。</w:t>
      </w:r>
    </w:p>
    <w:p w14:paraId="7DC9889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  提前完成设计</w:t>
      </w:r>
    </w:p>
    <w:p w14:paraId="06D252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6.7.1 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14:paraId="04773AD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6.7.2 发包人要求提前完成设计但设计人认为无法实施的，应在收到发包人书面指示后7天内提出异议，说明不能提前完成的理由。发包人应在收到异议后7天内予以答复。任何情况下，发包人不得压缩合理的设计服务期限。</w:t>
      </w:r>
    </w:p>
    <w:p w14:paraId="4C2E138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6.7.3 由于设计人提前完成设计而给发包人带来经济效益的，发包人可以在专用合同条款中约定设计人因此获得的奖励内容。</w:t>
      </w:r>
    </w:p>
    <w:p w14:paraId="7F4B9707">
      <w:pPr>
        <w:pStyle w:val="68"/>
        <w:spacing w:line="360" w:lineRule="auto"/>
        <w:ind w:left="0" w:firstLine="0"/>
        <w:outlineLvl w:val="1"/>
        <w:rPr>
          <w:rFonts w:ascii="黑体" w:hAnsi="黑体"/>
          <w:color w:val="auto"/>
          <w:szCs w:val="24"/>
          <w:highlight w:val="none"/>
        </w:rPr>
      </w:pPr>
      <w:bookmarkStart w:id="703" w:name="_Toc18904"/>
      <w:bookmarkStart w:id="704" w:name="_Toc7609"/>
      <w:bookmarkStart w:id="705" w:name="_Toc8481"/>
      <w:bookmarkStart w:id="706" w:name="_Toc19503"/>
      <w:bookmarkStart w:id="707" w:name="_Toc19873"/>
      <w:bookmarkStart w:id="708" w:name="_Toc2471"/>
      <w:r>
        <w:rPr>
          <w:rFonts w:hint="eastAsia" w:ascii="黑体" w:hAnsi="黑体"/>
          <w:color w:val="auto"/>
          <w:szCs w:val="24"/>
          <w:highlight w:val="none"/>
        </w:rPr>
        <w:t>7.</w:t>
      </w:r>
      <w:r>
        <w:rPr>
          <w:rFonts w:ascii="黑体" w:hAnsi="黑体"/>
          <w:color w:val="auto"/>
          <w:szCs w:val="24"/>
          <w:highlight w:val="none"/>
        </w:rPr>
        <w:t>暂停</w:t>
      </w:r>
      <w:bookmarkEnd w:id="703"/>
      <w:bookmarkEnd w:id="704"/>
      <w:bookmarkEnd w:id="705"/>
      <w:bookmarkEnd w:id="706"/>
      <w:bookmarkEnd w:id="707"/>
      <w:bookmarkEnd w:id="708"/>
      <w:r>
        <w:rPr>
          <w:rFonts w:hint="eastAsia" w:ascii="黑体" w:hAnsi="黑体"/>
          <w:color w:val="auto"/>
          <w:szCs w:val="24"/>
          <w:highlight w:val="none"/>
        </w:rPr>
        <w:t>设计</w:t>
      </w:r>
    </w:p>
    <w:p w14:paraId="62DCD39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7.1  发包人原因暂停设计</w:t>
      </w:r>
    </w:p>
    <w:p w14:paraId="79C7DC8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履行中发生下列情形之一的，设计人可向发包人发出通知，要求发包人采取有效措施予以纠正。发包人收到设计人通知后的28天内仍不履行合同义务时，设计人有权暂停设计并通知发包人；发包人应承担由此导致的费用增加和（或）周期延误。</w:t>
      </w:r>
    </w:p>
    <w:p w14:paraId="52FAEFC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（1）发包人违约；</w:t>
      </w:r>
    </w:p>
    <w:p w14:paraId="154F3F8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（2）发包人确定暂停设计；</w:t>
      </w:r>
    </w:p>
    <w:p w14:paraId="5DC44A2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（3）合同约定由发包人承担责任的其他情形。</w:t>
      </w:r>
    </w:p>
    <w:p w14:paraId="7B75B2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7.2  设计人原因暂停设计</w:t>
      </w:r>
    </w:p>
    <w:p w14:paraId="41FDFD8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合同履行中发生下列情形之一的，发包人可向设计人发出通知暂停设计，由此造成费用的增加和（或）周期延误由设计人承担：</w:t>
      </w:r>
    </w:p>
    <w:p w14:paraId="6267C7F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（1）设计人违约；</w:t>
      </w:r>
    </w:p>
    <w:p w14:paraId="774459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（2）设计人擅自暂停设计；</w:t>
      </w:r>
    </w:p>
    <w:p w14:paraId="16B4393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（3）合同约定由设计人承担责任的其他情形。</w:t>
      </w:r>
    </w:p>
    <w:p w14:paraId="229CD3E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7.3  暂停期间的文件照管</w:t>
      </w:r>
    </w:p>
    <w:p w14:paraId="7EFB1C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不论由于何种原因引起暂停设计的，暂停期间设计人应负责妥善保护已完部分的设计文件，由此增加的费用由责任方承担。</w:t>
      </w:r>
    </w:p>
    <w:p w14:paraId="4141ECBB">
      <w:pPr>
        <w:pStyle w:val="68"/>
        <w:spacing w:line="360" w:lineRule="auto"/>
        <w:ind w:left="0" w:firstLine="0"/>
        <w:outlineLvl w:val="1"/>
        <w:rPr>
          <w:rFonts w:ascii="黑体" w:hAnsi="黑体"/>
          <w:color w:val="auto"/>
          <w:szCs w:val="24"/>
          <w:highlight w:val="none"/>
        </w:rPr>
      </w:pPr>
      <w:bookmarkStart w:id="709" w:name="_Toc17577"/>
      <w:bookmarkStart w:id="710" w:name="_Toc12627"/>
      <w:bookmarkStart w:id="711" w:name="_Toc32092"/>
      <w:bookmarkStart w:id="712" w:name="_Toc24977"/>
      <w:bookmarkStart w:id="713" w:name="_Toc23470"/>
      <w:bookmarkStart w:id="714" w:name="_Toc32063"/>
      <w:r>
        <w:rPr>
          <w:rFonts w:hint="eastAsia" w:ascii="黑体" w:hAnsi="黑体"/>
          <w:color w:val="auto"/>
          <w:szCs w:val="24"/>
          <w:highlight w:val="none"/>
        </w:rPr>
        <w:t>8.设计</w:t>
      </w:r>
      <w:r>
        <w:rPr>
          <w:rFonts w:ascii="黑体" w:hAnsi="黑体"/>
          <w:color w:val="auto"/>
          <w:szCs w:val="24"/>
          <w:highlight w:val="none"/>
        </w:rPr>
        <w:t>文件</w:t>
      </w:r>
      <w:bookmarkEnd w:id="709"/>
      <w:bookmarkEnd w:id="710"/>
      <w:bookmarkEnd w:id="711"/>
      <w:bookmarkEnd w:id="712"/>
      <w:bookmarkEnd w:id="713"/>
      <w:bookmarkEnd w:id="714"/>
    </w:p>
    <w:p w14:paraId="75E6CF2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  设计文件接收</w:t>
      </w:r>
    </w:p>
    <w:p w14:paraId="4DD2606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8.1.1 发包人应及时接收设计人提交的设计文件。如无正当理由拒收的，视为发包人已经接收设计文件。</w:t>
      </w:r>
    </w:p>
    <w:p w14:paraId="0F974EA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8.1.2 发包人接收设计文件时，应向设计人出具文件签收凭证，凭证内容包括文件名称、文件内容、文件形式、份数、提交和接收日期、提交人与接收人的亲笔签名等。</w:t>
      </w:r>
    </w:p>
    <w:p w14:paraId="11873B1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8.1.3 设计文件提交的份数、内容、纸幅、装订格式、电子文件、展板、模型、沙盘、动画等要求，在专用合同条款中约定。</w:t>
      </w:r>
    </w:p>
    <w:p w14:paraId="36B5B1B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  发包人审查设计文件</w:t>
      </w:r>
    </w:p>
    <w:p w14:paraId="710BF97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8.2.1 发包人接收设计文件之后，可以自行或者组织专家会进行审查，设计人应给予配合。审查标准应符合法律、规范标准、合同约定和发包人要求等；审查的具体范围、明细内容和费用分担原则，在专用合同条款中约定。</w:t>
      </w:r>
    </w:p>
    <w:p w14:paraId="354C50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8.2.2 除专用合同条款另有约定外，发包人对于设计文件的审查期限，自文件接收之日起不应超过14天。发包人逾期未作出审查结论且未提出异议的，视为设计人的设计文件已经通过发包人审查。</w:t>
      </w:r>
    </w:p>
    <w:p w14:paraId="6819670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8.2.3 发包人审查后不同意设计文件的，应以书面形式通知设计人，说明审查不通过的理由及其具体内容。设计人应根据发包人的审查意见修改完善设计文件，并重新报送发包人审查，审查期限重新起算。</w:t>
      </w:r>
    </w:p>
    <w:p w14:paraId="749C079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  审查机构审查设计文件</w:t>
      </w:r>
    </w:p>
    <w:p w14:paraId="7462E89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8.3.1 设计文件需经政府有关部门审查或批准的，发包人应在审查同意后，按照有关主管部门要求，将设计文件和相关资料报送审查机构进行审查。发包人的审查和审查机构的审查不减免设计人因为质量问题而应承担的设计责任。</w:t>
      </w:r>
    </w:p>
    <w:p w14:paraId="788D46B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8.3.2 对于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14:paraId="519D370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8.3.3 由于自身原因造成设计文件未通过审查机构审查的，设计人应承担违约责任，采取补救措施直至达到合同约定的质量标准，并自行承担由此导致的费用增加和（或）周期延误。</w:t>
      </w:r>
    </w:p>
    <w:p w14:paraId="623B7852">
      <w:pPr>
        <w:pStyle w:val="68"/>
        <w:spacing w:line="360" w:lineRule="auto"/>
        <w:ind w:left="0" w:firstLine="0"/>
        <w:outlineLvl w:val="1"/>
        <w:rPr>
          <w:rFonts w:ascii="黑体" w:hAnsi="黑体"/>
          <w:color w:val="auto"/>
          <w:szCs w:val="24"/>
          <w:highlight w:val="none"/>
        </w:rPr>
      </w:pPr>
      <w:bookmarkStart w:id="715" w:name="_Toc4364"/>
      <w:bookmarkStart w:id="716" w:name="_Toc11115"/>
      <w:bookmarkStart w:id="717" w:name="_Toc9993"/>
      <w:bookmarkStart w:id="718" w:name="_Toc9356"/>
      <w:bookmarkStart w:id="719" w:name="_Toc28564"/>
      <w:bookmarkStart w:id="720" w:name="_Toc7779"/>
      <w:r>
        <w:rPr>
          <w:rFonts w:hint="eastAsia" w:ascii="黑体" w:hAnsi="黑体"/>
          <w:color w:val="auto"/>
          <w:szCs w:val="24"/>
          <w:highlight w:val="none"/>
        </w:rPr>
        <w:t>9.设计</w:t>
      </w:r>
      <w:r>
        <w:rPr>
          <w:rFonts w:ascii="黑体" w:hAnsi="黑体"/>
          <w:color w:val="auto"/>
          <w:szCs w:val="24"/>
          <w:highlight w:val="none"/>
        </w:rPr>
        <w:t>责任与保险</w:t>
      </w:r>
      <w:bookmarkEnd w:id="715"/>
      <w:bookmarkEnd w:id="716"/>
      <w:bookmarkEnd w:id="717"/>
      <w:bookmarkEnd w:id="718"/>
      <w:bookmarkEnd w:id="719"/>
      <w:bookmarkEnd w:id="720"/>
    </w:p>
    <w:p w14:paraId="1882EED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  工作质量责任</w:t>
      </w:r>
    </w:p>
    <w:p w14:paraId="3FC038C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9.1.1 设计工作质量应满足法律规定、规范标准、合同约定和发包人要求等。</w:t>
      </w:r>
    </w:p>
    <w:p w14:paraId="0B4F1DA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9.1.2 设计人应做好设计服务的质量与技术管理工作，建立健全内部质量管理体系和质量责任制度，加强设计服务全过程的质量控制，建立完整的设计文件的设计、复核、审核、会签和批准制度，明确各阶段的责任人。</w:t>
      </w:r>
    </w:p>
    <w:p w14:paraId="25433BF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9.1.3 设计人应强化现场作业质量和试验工作管理，保证原始记录和试验数据的可靠性、真实性和完整性，严禁离开现场进行追记、补记和修改记录。</w:t>
      </w:r>
    </w:p>
    <w:p w14:paraId="74C8F2F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9.1.4 设计人应按合同约定对设计服务进行全过程的质量检查和检验，并作详细记录，编制设计工作质量报表，报送发包人审查。</w:t>
      </w:r>
    </w:p>
    <w:p w14:paraId="4171126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9.1.5 发包人有权对设计工作质量进行检查和审核。设计人应为发包人的检查和检验提供方便，包括发包人到设计场地、试验室或合同约定的其他地方进行察看，查阅、审核设计的原始记录和其他文件。发包人的检查和审核，不免除设计人按合同约定应负的责任。</w:t>
      </w:r>
    </w:p>
    <w:p w14:paraId="44AB92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  设计文件错误责任</w:t>
      </w:r>
    </w:p>
    <w:p w14:paraId="7EAED09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9.2.1 设计文件存在错误、遗漏、含混、矛盾、不充分之处或其他缺陷，无论设计人是否通过了发包人审查或审查机构审查，设计人均应自费对前述问题带来的缺陷和工程问题进行改正，但因第1.6.2项约定由发包人提供的文件错误导致的除外。</w:t>
      </w:r>
    </w:p>
    <w:p w14:paraId="746B3F9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9.2.2 因设计人原因造成设计文件不合格的，发包人有权要求设计人采取补救措施，直至达到合同要求的质量标准，并按第14.1款的约定承担责任。</w:t>
      </w:r>
    </w:p>
    <w:p w14:paraId="2C77FD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9.2.3 因发包人原因造成设计文件不合格的，设计人应当采取补救措施，直至达到合同要求的质量标准，由此造成的设计费用增加和（或）设计服务期限延误由发包人承担。</w:t>
      </w:r>
    </w:p>
    <w:p w14:paraId="7C5D8C3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  设计责任主体</w:t>
      </w:r>
    </w:p>
    <w:p w14:paraId="1035311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9.3.1 设计人应运用一切合理的专业技术、知识技能和项目经验，按照职业道德准则和行业公认标准尽其全部职责，勤勉、谨慎、公正地履行其在本合同项下的责任和义务。</w:t>
      </w:r>
    </w:p>
    <w:p w14:paraId="4C88E35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9.3.2 本工程施行质量责任终身制。设计人应书面明确相应的项目负责人和质量负责人。设计人的相关人员按照国家法律法规和有关规定在工程合理使用年限内承担相应的质量责任。</w:t>
      </w:r>
    </w:p>
    <w:p w14:paraId="4A0C8C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9.3.3 设计人应按照相关规定，做好设计交底、设计变更和后续服务工作，保障设计意图在施工中得以贯彻落实，及时处理施工中与设计相关的质量技术问题。</w:t>
      </w:r>
    </w:p>
    <w:p w14:paraId="3A0D717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9.3.4 本工程交工验收前，设计人应对工程建设内容是否满足设计要求、是否达到使用功能等方面进行综合检查和分析评价，向发包人出具工程设计符合性评价意见。</w:t>
      </w:r>
    </w:p>
    <w:p w14:paraId="621FED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9.3.5 设计人应依法规范分包行为，并对承担的工程质量负总责，分包单位对分包合同范围内的工程质量负责。</w:t>
      </w:r>
    </w:p>
    <w:p w14:paraId="3653913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9.4  设计责任保险</w:t>
      </w:r>
    </w:p>
    <w:p w14:paraId="27DD25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9.4.1 除专用合同条款另有约定外，设计人应具有发包人认可的、履行本合同所需要的工程设计责任险，于合同签订后28天内向发包人提交工程设计责任险的保险单副本或者其他有效证明，并在合同履行期间保持足额、有效。</w:t>
      </w:r>
    </w:p>
    <w:p w14:paraId="6F06D17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9.4.2 工程设计责任险的保险范围，应当包括由于设计人的疏忽或过失而造成的工程质量事故损失，以及由于事故引发的第三者人身伤亡、财产损失或费用赔偿等。</w:t>
      </w:r>
    </w:p>
    <w:p w14:paraId="5B81344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9.4.3 发生工程设计保险事故后，设计人应按保险人要求进行报告，并负责办理保险理赔业务；保险金不足以补偿损失的，由设计人自行补偿。</w:t>
      </w:r>
    </w:p>
    <w:p w14:paraId="65ABFA30">
      <w:pPr>
        <w:pStyle w:val="68"/>
        <w:spacing w:line="360" w:lineRule="auto"/>
        <w:ind w:left="0" w:firstLine="0"/>
        <w:outlineLvl w:val="1"/>
        <w:rPr>
          <w:rFonts w:ascii="黑体" w:hAnsi="黑体"/>
          <w:color w:val="auto"/>
          <w:szCs w:val="24"/>
          <w:highlight w:val="none"/>
        </w:rPr>
      </w:pPr>
      <w:bookmarkStart w:id="721" w:name="_Toc8975"/>
      <w:bookmarkStart w:id="722" w:name="_Toc31236"/>
      <w:bookmarkStart w:id="723" w:name="_Toc2395"/>
      <w:bookmarkStart w:id="724" w:name="_Toc14260"/>
      <w:bookmarkStart w:id="725" w:name="_Toc28875"/>
      <w:bookmarkStart w:id="726" w:name="_Toc21267"/>
      <w:r>
        <w:rPr>
          <w:rFonts w:hint="eastAsia" w:ascii="黑体" w:hAnsi="黑体"/>
          <w:color w:val="auto"/>
          <w:szCs w:val="24"/>
          <w:highlight w:val="none"/>
        </w:rPr>
        <w:t>10.发包</w:t>
      </w:r>
      <w:r>
        <w:rPr>
          <w:rFonts w:ascii="黑体" w:hAnsi="黑体"/>
          <w:color w:val="auto"/>
          <w:szCs w:val="24"/>
          <w:highlight w:val="none"/>
        </w:rPr>
        <w:t>和施工期间配合</w:t>
      </w:r>
      <w:bookmarkEnd w:id="721"/>
      <w:bookmarkEnd w:id="722"/>
      <w:bookmarkEnd w:id="723"/>
      <w:bookmarkEnd w:id="724"/>
      <w:bookmarkEnd w:id="725"/>
      <w:bookmarkEnd w:id="726"/>
    </w:p>
    <w:p w14:paraId="01C2889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10.1  发包期间配合</w:t>
      </w:r>
    </w:p>
    <w:p w14:paraId="6A5F2E7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10.1.1 发包配合指设计人配合发包人进行各项发包工作。</w:t>
      </w:r>
    </w:p>
    <w:p w14:paraId="4E8F16D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10.1.2 设计人应按发包人规定的时间提供各标段施工发包资格预审所需的工程数量和工程说明；按发包人规定的时间提供各标段的施工发包图纸、工程量清单和参考资料；按发包人要求安排相关人员参加标前会，就有关设计问题进行答疑。</w:t>
      </w:r>
    </w:p>
    <w:p w14:paraId="05636E7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  施工期间配合</w:t>
      </w:r>
    </w:p>
    <w:p w14:paraId="68DCC33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10.2.1 施工配合指设计人配合施工承包人，在施工期间提供的补充勘察、设计服务或其他配合工作，直至工程通过竣工验收为止。</w:t>
      </w:r>
    </w:p>
    <w:p w14:paraId="6233B7A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10.2.2 除专用合同条款另有约定外，发包人应为设计人派赴施工现场的工作人员，在施工期间提供办公房间、办公桌椅、互联网接口、冷暖设施、生活设施、进出现场交通服务和其他便利条件。</w:t>
      </w:r>
    </w:p>
    <w:p w14:paraId="3939F8C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10.2.3 设计人应在本工程的施工期间，积极提供设计配合服务，包括并不限于设计技术交底、施工现场服务、参与施工过程验收、参与工程交工验收、参与工程竣工验收等工作。</w:t>
      </w:r>
    </w:p>
    <w:p w14:paraId="72479E5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10.2.4 发包人应当组织设计技术交底会，由设计人向发包人、监理人和施工承包人等进行设计交底，对本工程的设计意图、设计文件和施工要求等进行系统的说明和解释。</w:t>
      </w:r>
    </w:p>
    <w:p w14:paraId="58883B5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10.2.5 工程施工完毕后，发包人应当按有关规定组织工程交工验收和工程竣工验收，设计人参加验收并出具本单位的验收结论。如因设计原因致使工程不合格的，设计人应当承担违约责任，免费修改设计文件和赔偿发包人由此产生的经济损失。</w:t>
      </w:r>
    </w:p>
    <w:p w14:paraId="0131CDE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10.2.6 设计人应在施工现场设立代表处或派驻经验丰富的设计代表常驻施工现场，做好施工现场服务，并负责解决施工过程中出现的设计问题：</w:t>
      </w:r>
    </w:p>
    <w:p w14:paraId="4D4BD62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（1）开工前在发包人指定的时间内，做好设计文件的技术交底工作和现场控制点的交接工作（交桩）；</w:t>
      </w:r>
    </w:p>
    <w:p w14:paraId="7A2B42C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（2）在发包人规定的时间内，及时处理与解决施工中与设计有关的问题；</w:t>
      </w:r>
    </w:p>
    <w:p w14:paraId="041BB33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（3）在发包人规定的时间内，积极配合发包人对施工及设计方案进行优化设计；</w:t>
      </w:r>
    </w:p>
    <w:p w14:paraId="6AE8C3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（4）参与工程质量事故分析，并对因设计造成的质量事故，提出相应的技术处理方案；</w:t>
      </w:r>
    </w:p>
    <w:p w14:paraId="753DD8B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（5）参加本工程的交工、竣工验收，提交设计工作报告，并配合质量监督部门校核工程是否按施工图设计施工。</w:t>
      </w:r>
    </w:p>
    <w:p w14:paraId="763B04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发包人对设计代表的数量和资历条件有特定要求的，在专用合同条款中约定。设计人应按发包人提出的要求派驻设计代表，否则按违约处理。</w:t>
      </w:r>
    </w:p>
    <w:p w14:paraId="32F45A5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若发包人在工作中发现设计代表不称职或有违法行为时，有权提出更换，设计人应在发包人提出更换通知的7天内完成更换工作并使发包人满意。</w:t>
      </w:r>
    </w:p>
    <w:p w14:paraId="7447663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10.2.7 本项目设计变更的设计由设计人承担，设计人应及时完成设计，提交设计变更文件，并对设计变更文件承担相应责任。除本合同第11条规定之外的设计变更，其设计费用应视为已含入合同价格中，发包人不再另行支付。所有设计变更必须提供预算金额并由设计代表签字确认。</w:t>
      </w:r>
    </w:p>
    <w:p w14:paraId="4B975C7D">
      <w:pPr>
        <w:pStyle w:val="68"/>
        <w:spacing w:line="360" w:lineRule="auto"/>
        <w:ind w:left="0" w:firstLine="0"/>
        <w:outlineLvl w:val="1"/>
        <w:rPr>
          <w:rFonts w:ascii="黑体" w:hAnsi="黑体"/>
          <w:color w:val="auto"/>
          <w:szCs w:val="24"/>
          <w:highlight w:val="none"/>
        </w:rPr>
      </w:pPr>
      <w:bookmarkStart w:id="727" w:name="_Toc3432"/>
      <w:bookmarkStart w:id="728" w:name="_Toc4689"/>
      <w:bookmarkStart w:id="729" w:name="_Toc29473"/>
      <w:bookmarkStart w:id="730" w:name="_Toc11548"/>
      <w:bookmarkStart w:id="731" w:name="_Toc11933"/>
      <w:bookmarkStart w:id="732" w:name="_Toc7564"/>
      <w:r>
        <w:rPr>
          <w:rFonts w:hint="eastAsia" w:ascii="黑体" w:hAnsi="黑体"/>
          <w:color w:val="auto"/>
          <w:szCs w:val="24"/>
          <w:highlight w:val="none"/>
        </w:rPr>
        <w:t>11.</w:t>
      </w:r>
      <w:r>
        <w:rPr>
          <w:rFonts w:ascii="黑体" w:hAnsi="黑体"/>
          <w:color w:val="auto"/>
          <w:szCs w:val="24"/>
          <w:highlight w:val="none"/>
        </w:rPr>
        <w:t>合同变更</w:t>
      </w:r>
      <w:bookmarkEnd w:id="727"/>
      <w:bookmarkEnd w:id="728"/>
      <w:bookmarkEnd w:id="729"/>
      <w:bookmarkEnd w:id="730"/>
      <w:bookmarkEnd w:id="731"/>
      <w:bookmarkEnd w:id="732"/>
    </w:p>
    <w:p w14:paraId="3BAC6FF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  变更情形</w:t>
      </w:r>
    </w:p>
    <w:p w14:paraId="740076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11.1.1 合同履行中发生下述情形时，合同一方均可向对方提出变更请求，经双方协商一致后进行变更，设计服务期限和设计费用的调整方法在专用合同条款中约定。</w:t>
      </w:r>
    </w:p>
    <w:p w14:paraId="2CD3329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（1）设计范围发生变化；</w:t>
      </w:r>
    </w:p>
    <w:p w14:paraId="38C3448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（2）除不可抗力外，非设计人的原因引起的周期延误；</w:t>
      </w:r>
    </w:p>
    <w:p w14:paraId="684B7D2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（3）非设计人的原因，对工程同一部分重复进行设计；</w:t>
      </w:r>
    </w:p>
    <w:p w14:paraId="6302DF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（4）非设计人的原因，对工程暂停设计及恢复设计。</w:t>
      </w:r>
    </w:p>
    <w:p w14:paraId="01E26A6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11.1.2 基准日后，因颁布新的或修订原有法律、法规、规范和标准等引发合同变更情形的，按照上述约定进行调整。</w:t>
      </w:r>
    </w:p>
    <w:p w14:paraId="7A47293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  合理化建议</w:t>
      </w:r>
    </w:p>
    <w:p w14:paraId="2B7F313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11.2.1 合同履行中，设计人可对发包人要求提出合理化建议。合理化建议应以书面形式提交发包人，被发包人采纳并构成变更的，执行第11.1款约定。</w:t>
      </w:r>
    </w:p>
    <w:p w14:paraId="5B8EB1C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11.2.2 设计人提出的合理化建议降低了工程投资、缩短了施工期限或者提高了工程经济效益的，发包人应按专用合同条款中的约定给予奖励。</w:t>
      </w:r>
    </w:p>
    <w:p w14:paraId="05E83322">
      <w:pPr>
        <w:pStyle w:val="68"/>
        <w:spacing w:line="360" w:lineRule="auto"/>
        <w:ind w:left="0" w:firstLine="0"/>
        <w:outlineLvl w:val="1"/>
        <w:rPr>
          <w:rFonts w:ascii="黑体" w:hAnsi="黑体"/>
          <w:color w:val="auto"/>
          <w:szCs w:val="24"/>
          <w:highlight w:val="none"/>
        </w:rPr>
      </w:pPr>
      <w:bookmarkStart w:id="733" w:name="_Toc13870"/>
      <w:bookmarkStart w:id="734" w:name="_Toc7732"/>
      <w:bookmarkStart w:id="735" w:name="_Toc6434"/>
      <w:bookmarkStart w:id="736" w:name="_Toc23371"/>
      <w:bookmarkStart w:id="737" w:name="_Toc30970"/>
      <w:bookmarkStart w:id="738" w:name="_Toc20174"/>
      <w:r>
        <w:rPr>
          <w:rFonts w:hint="eastAsia" w:ascii="黑体" w:hAnsi="黑体"/>
          <w:color w:val="auto"/>
          <w:szCs w:val="24"/>
          <w:highlight w:val="none"/>
        </w:rPr>
        <w:t>12.</w:t>
      </w:r>
      <w:r>
        <w:rPr>
          <w:rFonts w:ascii="黑体" w:hAnsi="黑体"/>
          <w:color w:val="auto"/>
          <w:szCs w:val="24"/>
          <w:highlight w:val="none"/>
        </w:rPr>
        <w:t>合同价格与支付</w:t>
      </w:r>
      <w:bookmarkEnd w:id="733"/>
      <w:bookmarkEnd w:id="734"/>
      <w:bookmarkEnd w:id="735"/>
      <w:bookmarkEnd w:id="736"/>
      <w:bookmarkEnd w:id="737"/>
      <w:bookmarkEnd w:id="738"/>
    </w:p>
    <w:p w14:paraId="33D2E67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  合同价格</w:t>
      </w:r>
    </w:p>
    <w:p w14:paraId="31E16EB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12.1.1 本合同的报价方式、价格调整方式和风险范围划分，在专用合同条款中约定。</w:t>
      </w:r>
    </w:p>
    <w:p w14:paraId="494FD8A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12.1.2 设计费用实行发包人签证制度，即设计人完成设计项目后通知发包人进行验收，通过验收后由发包人代表对实施的设计项目、数量、质量和实施时间签字确认，以此作为计算设计费用的依据之一。</w:t>
      </w:r>
    </w:p>
    <w:p w14:paraId="18EFB83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12.1.3 除专用合同条款另有约定外，合同价格应当包括收集资料，踏勘现场，制订纲要，进行测绘、勘探、取样、试验、测试、分析、设计、评估、审查等，编制设计文件，发包与施工配合等全部费用和国家规定的各项税费。</w:t>
      </w:r>
    </w:p>
    <w:p w14:paraId="41A241F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12.1.4 发包人要求设计人进行外出考察、试验检测、专项咨询或专家评审时，相应费用不含在合同价格之中，由发包人另行支付。</w:t>
      </w:r>
    </w:p>
    <w:p w14:paraId="7BA635C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12.1.5 设计人为联合体的，发包人应根据设计工作进展向联合体牵头人支付设计费用，由联合体牵头人根据联合体各成员及分包人（如有）实际完成的工作量及完成质量，向联合体各成员及分包人支付合同价款，由此发生的税费等费用统一包含在合同价格内，发包人不另行支付。联合体牵头人提出书面申请时，发包人也可直接向联合体各成员支付合同价款。</w:t>
      </w:r>
    </w:p>
    <w:p w14:paraId="5602365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12.1.6 发包人向设计人实际支付的设计费，将不高于初步设计审批概算中相应设计费的审批额，除非设计费审批额依法予以调整。设计费超出审批额部分发包人将予以扣除，合同价格相应变更，不足部分发包人将不另行支付。</w:t>
      </w:r>
    </w:p>
    <w:p w14:paraId="3E21812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12.2 预付款</w:t>
      </w:r>
    </w:p>
    <w:p w14:paraId="1AF3BE2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12.2.1 预付款应专用于本工程的设计。预付款的额度、支付方式在专用合同条款中约定。设计人无须向发包人提交预付款保函，但设计人提交的履约保证金对预付款的正常使用承担保证责任。</w:t>
      </w:r>
    </w:p>
    <w:p w14:paraId="4C72D35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12.2.2 发包人应在收到预付款支付申请后28天内，将预付款支付给设计人；设计人应当提供等额的增值税发票。</w:t>
      </w:r>
    </w:p>
    <w:p w14:paraId="3B3E06A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 中期支付</w:t>
      </w:r>
    </w:p>
    <w:p w14:paraId="377D249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12.3.1 设计人应按发包人批准或专用合同条款约定的格式及份数向发包人提交中期支付申请，并附相应的支持性证明文件。</w:t>
      </w:r>
    </w:p>
    <w:p w14:paraId="309C0FD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12.3.2 发包人应在收到中期支付申请后的28天内，将应付款项支付给设计人；设计人应当提供等额的增值税专用发票。发包人未能在前述时间内完成审批或不予答复的，视为发包人同意中期支付申请。发包人不按期支付的，按专用合同条款的约定支付逾期付款违约金。</w:t>
      </w:r>
    </w:p>
    <w:p w14:paraId="4D170C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12.3.3 中期支付涉及政府投资资金的，按照国库集中支付等国家相关规定和专用合同条款的约定执行。</w:t>
      </w:r>
    </w:p>
    <w:p w14:paraId="5D1F2FF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 费用结算</w:t>
      </w:r>
    </w:p>
    <w:p w14:paraId="5AFB86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12.4.1 合同工作完成后，设计人应按专用合同条款约定的份数和期限，向发包人提交设计费用结算申请，并提供相关证明材料。</w:t>
      </w:r>
    </w:p>
    <w:p w14:paraId="214EC2B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12.4.2 发包人应在收到费用结算申请后的28天内，将应付款项支付给设计人；设计人应当提供等额的增值税专用发票。发包人未能在前述时间内完成审批或不予答复的，视为发包人同意费用结算申请。发包人不按期支付的，按专用合同条款的约定支付逾期付款违约金。</w:t>
      </w:r>
    </w:p>
    <w:p w14:paraId="055B455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12.4.3 发包人对费用结算申请内容有异议的，有权要求设计人进行修正和提供补充资料，由设计人重新提交。设计人对此有异议的，按第15条的约定执行。</w:t>
      </w:r>
    </w:p>
    <w:p w14:paraId="41D381E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12.4.4 最终结清付款涉及政府投资资金的，按第12.3.3项的约定执行。</w:t>
      </w:r>
    </w:p>
    <w:p w14:paraId="1DB9C81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12.5 暂列金额</w:t>
      </w:r>
    </w:p>
    <w:p w14:paraId="4FC67EF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12.5.1 本合同的暂列金额在专用合同条款中约定。暂列金额应按发包人的书面指示全部或部分地使用，或根本不予动用。</w:t>
      </w:r>
    </w:p>
    <w:p w14:paraId="447D008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12.5.2 如果使用暂列金额进行某项额外设计工作、审查和会务工作，其费用应按设计人竞包报价中相应项目的基本单价和实际发生的工作量经发包人核定后支付，或者按实际发生的工作费用经发包人核实后支付。</w:t>
      </w:r>
    </w:p>
    <w:p w14:paraId="4371A15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12.6 质量保证金</w:t>
      </w:r>
    </w:p>
    <w:p w14:paraId="05E45F6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为保证设计人的设计质量和设计服务，最后一批设计成果文件经上级主管部门批复之后28天内，设计人应向发包人缴纳质量保证金。质量保证金可采用银行保函或现金、支票形式，金额应符合专用合同条款的规定。采用银行保函时，出具保函的银行须具有相应担保能力，且按照发包人批准的格式出具，所需费用由设计人承担，待项目交工证书签发后28天内返还给设计人。</w:t>
      </w:r>
    </w:p>
    <w:p w14:paraId="4450F047">
      <w:pPr>
        <w:pStyle w:val="68"/>
        <w:spacing w:line="360" w:lineRule="auto"/>
        <w:ind w:left="0" w:firstLine="0"/>
        <w:outlineLvl w:val="1"/>
        <w:rPr>
          <w:rFonts w:ascii="黑体" w:hAnsi="黑体"/>
          <w:color w:val="auto"/>
          <w:szCs w:val="24"/>
          <w:highlight w:val="none"/>
        </w:rPr>
      </w:pPr>
      <w:bookmarkStart w:id="739" w:name="_Toc6559"/>
      <w:bookmarkStart w:id="740" w:name="_Toc256"/>
      <w:bookmarkStart w:id="741" w:name="_Toc19440"/>
      <w:bookmarkStart w:id="742" w:name="_Toc5142"/>
      <w:bookmarkStart w:id="743" w:name="_Toc9965"/>
      <w:bookmarkStart w:id="744" w:name="_Toc20924"/>
      <w:r>
        <w:rPr>
          <w:rFonts w:hint="eastAsia" w:ascii="黑体" w:hAnsi="黑体"/>
          <w:color w:val="auto"/>
          <w:szCs w:val="24"/>
          <w:highlight w:val="none"/>
        </w:rPr>
        <w:t>13.</w:t>
      </w:r>
      <w:r>
        <w:rPr>
          <w:rFonts w:ascii="黑体" w:hAnsi="黑体"/>
          <w:color w:val="auto"/>
          <w:szCs w:val="24"/>
          <w:highlight w:val="none"/>
        </w:rPr>
        <w:t>不可抗力</w:t>
      </w:r>
      <w:bookmarkEnd w:id="739"/>
      <w:bookmarkEnd w:id="740"/>
      <w:bookmarkEnd w:id="741"/>
      <w:bookmarkEnd w:id="742"/>
      <w:bookmarkEnd w:id="743"/>
      <w:bookmarkEnd w:id="744"/>
    </w:p>
    <w:p w14:paraId="7D73269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13.1 不可抗力的确认</w:t>
      </w:r>
    </w:p>
    <w:p w14:paraId="3D186A0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13.1.1 不可抗力是指设计人和发包人在订立合同时不可预见，在履行合同过程中不可避免发生并不能克服的自然灾害和社会性突发事件，如地震、海啸、瘟疫、水灾、骚乱、暴动、战争和专用合同条款约定的其他情形。</w:t>
      </w:r>
    </w:p>
    <w:p w14:paraId="6766E82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13.1.2 不可抗力发生后，发包人和设计人应及时认真统计所造成的损失，收集不可抗力造成损失的证据。合同双方对是否属于不可抗力或其损失的意见不一致的，由合同双方协商确定。</w:t>
      </w:r>
    </w:p>
    <w:p w14:paraId="1F83CF8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 不可抗力的通知</w:t>
      </w:r>
    </w:p>
    <w:p w14:paraId="1E5822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13.2.1 合同一方当事人遇到不可抗力事件，使其履行合同义务受到阻碍时，应立即通知合同另一方当事人，书面说明不可抗力和受阻碍的详细情况，并提供必要的证明。</w:t>
      </w:r>
    </w:p>
    <w:p w14:paraId="090D729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13.2.2 如不可抗力持续发生，合同一方当事人应及时向合同另一方当事人提交中间报告，说明不可抗力和履行合同受阻的情况，并于不可抗力事件结束后 28 天内提交最终报告及有关资料。</w:t>
      </w:r>
    </w:p>
    <w:p w14:paraId="1B4D49D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 不可抗力后果及其处理</w:t>
      </w:r>
    </w:p>
    <w:p w14:paraId="1C8D410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13.3.1 不可抗力引起的后果及其损失，应由合同当事人依据法律规定各自承担。不可抗力发生前已完成的设计工作，应当按照合同约定进行支付。</w:t>
      </w:r>
    </w:p>
    <w:p w14:paraId="0A0321C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13.3.2 不可抗力发生后，合同当事人应当采取有效措施避免损失进一步扩大，如未采取有效措施致使损失扩大的，应当自行承担扩大部分的损失。</w:t>
      </w:r>
    </w:p>
    <w:p w14:paraId="1A5AC25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13.3.3 因一方当事人迟延履行合同义务，致使迟延履行期间遭遇不可抗力的，应由该当事人承担全部损失。</w:t>
      </w:r>
    </w:p>
    <w:p w14:paraId="30A3E9B7">
      <w:pPr>
        <w:pStyle w:val="68"/>
        <w:spacing w:line="360" w:lineRule="auto"/>
        <w:ind w:left="0" w:firstLine="0"/>
        <w:outlineLvl w:val="1"/>
        <w:rPr>
          <w:rFonts w:ascii="黑体" w:hAnsi="黑体"/>
          <w:color w:val="auto"/>
          <w:szCs w:val="24"/>
          <w:highlight w:val="none"/>
        </w:rPr>
      </w:pPr>
      <w:bookmarkStart w:id="745" w:name="_Toc29492"/>
      <w:bookmarkStart w:id="746" w:name="_Toc14940"/>
      <w:bookmarkStart w:id="747" w:name="_Toc9700"/>
      <w:bookmarkStart w:id="748" w:name="_Toc22772"/>
      <w:bookmarkStart w:id="749" w:name="_Toc925"/>
      <w:bookmarkStart w:id="750" w:name="_Toc8424"/>
      <w:r>
        <w:rPr>
          <w:rFonts w:hint="eastAsia" w:ascii="黑体" w:hAnsi="黑体"/>
          <w:color w:val="auto"/>
          <w:szCs w:val="24"/>
          <w:highlight w:val="none"/>
        </w:rPr>
        <w:t>14.</w:t>
      </w:r>
      <w:r>
        <w:rPr>
          <w:rFonts w:ascii="黑体" w:hAnsi="黑体"/>
          <w:color w:val="auto"/>
          <w:szCs w:val="24"/>
          <w:highlight w:val="none"/>
        </w:rPr>
        <w:t>违约</w:t>
      </w:r>
      <w:bookmarkEnd w:id="745"/>
      <w:bookmarkEnd w:id="746"/>
      <w:bookmarkEnd w:id="747"/>
      <w:bookmarkEnd w:id="748"/>
      <w:bookmarkEnd w:id="749"/>
      <w:bookmarkEnd w:id="750"/>
    </w:p>
    <w:p w14:paraId="0B19F7F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 设计人违约</w:t>
      </w:r>
    </w:p>
    <w:p w14:paraId="03F3BC6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14.1.1 合同履行中发生下列情况之一的，属设计人违约：</w:t>
      </w:r>
    </w:p>
    <w:p w14:paraId="6E858E5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（1）设计文件不符合法律以及合同约定；</w:t>
      </w:r>
    </w:p>
    <w:p w14:paraId="6C07989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（2）设计人转包、违法分包或者未经发包人同意擅自分包；</w:t>
      </w:r>
    </w:p>
    <w:p w14:paraId="23DD43C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（3）设计人未按合同计划完成设计（发包人同意延期的除外）；</w:t>
      </w:r>
    </w:p>
    <w:p w14:paraId="0759177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（4）设计人无法履行或停止履行合同；</w:t>
      </w:r>
    </w:p>
    <w:p w14:paraId="11A1D57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（5）在收到发包人或咨询单位或上级主管部门提出的审查意见后，设计人未在专用合同条款规定的期限内完成对设计文件的修改；</w:t>
      </w:r>
    </w:p>
    <w:p w14:paraId="303BDD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（6）设计人在竞包文件中承诺的或按合同文件约定的投入本项目的主要设计人员发生变化（因不可抗力引起的人员变动除外）；</w:t>
      </w:r>
    </w:p>
    <w:p w14:paraId="16A849E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（7）设计人未按照本合同第10.1款规定提供发包期间的配合服务；</w:t>
      </w:r>
    </w:p>
    <w:p w14:paraId="2B66FF1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（8）设计人未及时选派合格的设计代表进驻施工现场，或未能在发包人和设计人约定的时间内给予答复、完成变更设计；</w:t>
      </w:r>
    </w:p>
    <w:p w14:paraId="6F0FA63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（9）因设计深度不够、资料不足、方案缺陷以及设计质量低劣而被要求返工；</w:t>
      </w:r>
    </w:p>
    <w:p w14:paraId="573CCE7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（10）因设计深度不够、资料不足、方案缺陷或质量低劣导致未通过上级主管部门的审查，或导致本项目造价调整率超过专用合同条款中约定的比例；</w:t>
      </w:r>
    </w:p>
    <w:p w14:paraId="6B8A1B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由于设计人的过失或责任引起本项目发生重大设计变更、较大设计变更或单个合同段因变更引起的工程费用调整累计超过专用合同条款中约定的比例，导致施工工期拖延或者给发包人造成经济损失。重大设计变更及较大设计变更的划分标准参照《公路工程设计变更管理办法》的规定执行；</w:t>
      </w:r>
    </w:p>
    <w:p w14:paraId="1EF5D1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（12）由于设计人的过失或责任导致设计质量事故；</w:t>
      </w:r>
    </w:p>
    <w:p w14:paraId="4387BB6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（13）设计人不履行合同约定的其他义务。</w:t>
      </w:r>
    </w:p>
    <w:p w14:paraId="15573C6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14.1.2 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发包人有权向设计人课以专用合同条款中约定的违约金，并由发包人将其违约行为上报省级交通运输主管部门，作为不良记录纳入公路建设市场信用信息管理系统。</w:t>
      </w:r>
    </w:p>
    <w:p w14:paraId="06CAED2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14.2 发包人违约</w:t>
      </w:r>
    </w:p>
    <w:p w14:paraId="2282136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14.2.1 合同履行中发生下列情况之一的，属发包人违约：</w:t>
      </w:r>
    </w:p>
    <w:p w14:paraId="12C7FA3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（1）发包人未按合同约定支付设计费用；</w:t>
      </w:r>
    </w:p>
    <w:p w14:paraId="42D3C84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（2）发包人原因造成设计停止；</w:t>
      </w:r>
    </w:p>
    <w:p w14:paraId="062A8CD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（3）发包人无法履行或停止履行合同；</w:t>
      </w:r>
    </w:p>
    <w:p w14:paraId="78859E8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（4）由于发包人变更设计项目、规模、条件，或未按合同约定提供设计必需的资料，造成设计的返工、停工、窝工或修改设计；</w:t>
      </w:r>
    </w:p>
    <w:p w14:paraId="6770F90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（5）发包人无正当理由不按时返还履约保证金、质量保证金；</w:t>
      </w:r>
    </w:p>
    <w:p w14:paraId="16E3F18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（6）发包人不履行合同约定的其他义务。</w:t>
      </w:r>
    </w:p>
    <w:p w14:paraId="3DE11F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14.2.2 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设计人有权向发包人课以专用合同条款中约定的违约金。</w:t>
      </w:r>
    </w:p>
    <w:p w14:paraId="599D3E5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14.3 第三人造成的违约</w:t>
      </w:r>
    </w:p>
    <w:p w14:paraId="3F82F0E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在履行合同过程中，一方当事人因第三人的原因造成违约的，应当向对方当事人承担违约责任。一方当事人和第三人之间的纠纷，依照法律规定或者按照约定解决。</w:t>
      </w:r>
    </w:p>
    <w:p w14:paraId="702F3A2D">
      <w:pPr>
        <w:pStyle w:val="68"/>
        <w:spacing w:line="360" w:lineRule="auto"/>
        <w:ind w:left="0" w:firstLine="0"/>
        <w:outlineLvl w:val="1"/>
        <w:rPr>
          <w:rFonts w:ascii="黑体" w:hAnsi="黑体"/>
          <w:color w:val="auto"/>
          <w:szCs w:val="24"/>
          <w:highlight w:val="none"/>
        </w:rPr>
      </w:pPr>
      <w:bookmarkStart w:id="751" w:name="_Toc1056"/>
      <w:bookmarkStart w:id="752" w:name="_Toc11114"/>
      <w:bookmarkStart w:id="753" w:name="_Toc10339"/>
      <w:bookmarkStart w:id="754" w:name="_Toc15269"/>
      <w:bookmarkStart w:id="755" w:name="_Toc19563"/>
      <w:bookmarkStart w:id="756" w:name="_Toc17513"/>
      <w:r>
        <w:rPr>
          <w:rFonts w:hint="eastAsia" w:ascii="黑体" w:hAnsi="黑体"/>
          <w:color w:val="auto"/>
          <w:szCs w:val="24"/>
          <w:highlight w:val="none"/>
        </w:rPr>
        <w:t>15.</w:t>
      </w:r>
      <w:r>
        <w:rPr>
          <w:rFonts w:ascii="黑体" w:hAnsi="黑体"/>
          <w:color w:val="auto"/>
          <w:szCs w:val="24"/>
          <w:highlight w:val="none"/>
        </w:rPr>
        <w:t>争议的解决</w:t>
      </w:r>
      <w:bookmarkEnd w:id="751"/>
      <w:bookmarkEnd w:id="752"/>
      <w:bookmarkEnd w:id="753"/>
      <w:bookmarkEnd w:id="754"/>
      <w:bookmarkEnd w:id="755"/>
      <w:bookmarkEnd w:id="756"/>
    </w:p>
    <w:p w14:paraId="687FEFC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15.1 发包人和设计人在履行合同中发生争议的，可以友好协商解决。合同当事人友好协商解决不成的，可在专用合同条款中约定按下列一种方式解决：</w:t>
      </w:r>
    </w:p>
    <w:p w14:paraId="65F1420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（1）向约定的仲裁委员会申请仲裁；</w:t>
      </w:r>
    </w:p>
    <w:p w14:paraId="68AFB85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（2）向有管辖权的人民法院提起诉讼。</w:t>
      </w:r>
    </w:p>
    <w:p w14:paraId="7D1B29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15.2 采用仲裁方式最终解决争议的项目，仲裁裁决是终局性的并对发包人和设计人双方均具有约束力。全部仲裁费用应由败诉方承担，或按仲裁委员会裁决的比例分担。</w:t>
      </w:r>
    </w:p>
    <w:p w14:paraId="6CC8CADF">
      <w:pPr>
        <w:pStyle w:val="62"/>
        <w:jc w:val="center"/>
        <w:rPr>
          <w:color w:val="auto"/>
          <w:highlight w:val="none"/>
        </w:rPr>
      </w:pPr>
      <w:r>
        <w:rPr>
          <w:rFonts w:hint="eastAsia" w:ascii="宋体" w:hAnsi="宋体"/>
          <w:color w:val="auto"/>
          <w:w w:val="105"/>
          <w:szCs w:val="21"/>
          <w:highlight w:val="none"/>
        </w:rPr>
        <w:br w:type="page"/>
      </w:r>
      <w:bookmarkStart w:id="757" w:name="_Toc15313"/>
      <w:bookmarkStart w:id="758" w:name="_Toc1136"/>
      <w:bookmarkStart w:id="759" w:name="_Toc6860"/>
      <w:bookmarkStart w:id="760" w:name="_Toc28580"/>
      <w:bookmarkStart w:id="761" w:name="_Toc8995"/>
      <w:bookmarkStart w:id="762" w:name="_Toc32322"/>
      <w:r>
        <w:rPr>
          <w:rFonts w:hint="eastAsia"/>
          <w:color w:val="auto"/>
          <w:highlight w:val="none"/>
        </w:rPr>
        <w:t>第二节 专用合同条款</w:t>
      </w:r>
      <w:bookmarkEnd w:id="757"/>
      <w:bookmarkEnd w:id="758"/>
      <w:bookmarkEnd w:id="759"/>
      <w:bookmarkEnd w:id="760"/>
      <w:bookmarkEnd w:id="761"/>
      <w:bookmarkEnd w:id="762"/>
    </w:p>
    <w:p w14:paraId="34BD9C7B">
      <w:pPr>
        <w:pStyle w:val="14"/>
        <w:ind w:left="0" w:firstLine="0"/>
        <w:rPr>
          <w:rFonts w:ascii="宋体" w:hAnsi="宋体" w:cs="宋体"/>
          <w:color w:val="auto"/>
          <w:kern w:val="0"/>
          <w:highlight w:val="none"/>
        </w:rPr>
      </w:pPr>
      <w:r>
        <w:rPr>
          <w:rFonts w:ascii="宋体" w:hAnsi="宋体" w:cs="宋体"/>
          <w:color w:val="auto"/>
          <w:kern w:val="0"/>
          <w:highlight w:val="none"/>
        </w:rPr>
        <w:t>说明</w:t>
      </w:r>
      <w:r>
        <w:rPr>
          <w:rFonts w:hint="eastAsia" w:ascii="宋体" w:hAnsi="宋体" w:cs="宋体"/>
          <w:color w:val="auto"/>
          <w:kern w:val="0"/>
          <w:highlight w:val="none"/>
        </w:rPr>
        <w:t>：</w:t>
      </w:r>
    </w:p>
    <w:p w14:paraId="505C2777">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1</w:t>
      </w:r>
      <w:r>
        <w:rPr>
          <w:rFonts w:ascii="宋体" w:hAnsi="宋体" w:cs="宋体"/>
          <w:color w:val="auto"/>
          <w:kern w:val="0"/>
          <w:highlight w:val="none"/>
        </w:rPr>
        <w:t>．</w:t>
      </w:r>
      <w:r>
        <w:rPr>
          <w:rFonts w:hint="eastAsia" w:ascii="宋体" w:hAnsi="宋体" w:cs="宋体"/>
          <w:color w:val="auto"/>
          <w:kern w:val="0"/>
          <w:highlight w:val="none"/>
        </w:rPr>
        <w:t>发包</w:t>
      </w:r>
      <w:r>
        <w:rPr>
          <w:rFonts w:ascii="宋体" w:hAnsi="宋体" w:cs="宋体"/>
          <w:color w:val="auto"/>
          <w:kern w:val="0"/>
          <w:highlight w:val="none"/>
        </w:rPr>
        <w:t>人在根据《</w:t>
      </w:r>
      <w:r>
        <w:rPr>
          <w:rFonts w:hint="eastAsia" w:ascii="宋体" w:hAnsi="宋体" w:cs="宋体"/>
          <w:color w:val="auto"/>
          <w:kern w:val="0"/>
          <w:highlight w:val="none"/>
        </w:rPr>
        <w:t>浙江省</w:t>
      </w:r>
      <w:r>
        <w:rPr>
          <w:rFonts w:ascii="宋体" w:hAnsi="宋体" w:cs="宋体"/>
          <w:color w:val="auto"/>
          <w:kern w:val="0"/>
          <w:highlight w:val="none"/>
        </w:rPr>
        <w:t>公路工程</w:t>
      </w:r>
      <w:r>
        <w:rPr>
          <w:rFonts w:hint="eastAsia" w:ascii="宋体" w:hAnsi="宋体" w:cs="宋体"/>
          <w:color w:val="auto"/>
          <w:kern w:val="0"/>
          <w:highlight w:val="none"/>
        </w:rPr>
        <w:t>设计发包</w:t>
      </w:r>
      <w:r>
        <w:rPr>
          <w:rFonts w:ascii="宋体" w:hAnsi="宋体" w:cs="宋体"/>
          <w:color w:val="auto"/>
          <w:kern w:val="0"/>
          <w:highlight w:val="none"/>
        </w:rPr>
        <w:t>文件</w:t>
      </w:r>
      <w:r>
        <w:rPr>
          <w:rFonts w:hint="eastAsia" w:ascii="宋体" w:hAnsi="宋体" w:cs="宋体"/>
          <w:color w:val="auto"/>
          <w:kern w:val="0"/>
          <w:highlight w:val="none"/>
        </w:rPr>
        <w:t>示范文本</w:t>
      </w:r>
      <w:r>
        <w:rPr>
          <w:rFonts w:ascii="宋体" w:hAnsi="宋体" w:cs="宋体"/>
          <w:color w:val="auto"/>
          <w:kern w:val="0"/>
          <w:highlight w:val="none"/>
        </w:rPr>
        <w:t>》</w:t>
      </w:r>
      <w:r>
        <w:rPr>
          <w:rFonts w:hint="eastAsia" w:ascii="宋体" w:hAnsi="宋体" w:cs="宋体"/>
          <w:color w:val="auto"/>
          <w:kern w:val="0"/>
          <w:highlight w:val="none"/>
        </w:rPr>
        <w:t>（2024年版）</w:t>
      </w:r>
      <w:r>
        <w:rPr>
          <w:rFonts w:ascii="宋体" w:hAnsi="宋体" w:cs="宋体"/>
          <w:color w:val="auto"/>
          <w:kern w:val="0"/>
          <w:highlight w:val="none"/>
        </w:rPr>
        <w:t>编制项目</w:t>
      </w:r>
      <w:r>
        <w:rPr>
          <w:rFonts w:hint="eastAsia" w:ascii="宋体" w:hAnsi="宋体" w:cs="宋体"/>
          <w:color w:val="auto"/>
          <w:kern w:val="0"/>
          <w:highlight w:val="none"/>
        </w:rPr>
        <w:t>发包</w:t>
      </w:r>
      <w:r>
        <w:rPr>
          <w:rFonts w:ascii="宋体" w:hAnsi="宋体" w:cs="宋体"/>
          <w:color w:val="auto"/>
          <w:kern w:val="0"/>
          <w:highlight w:val="none"/>
        </w:rPr>
        <w:t>文件中的“专用合同条款”时，可根据</w:t>
      </w:r>
      <w:r>
        <w:rPr>
          <w:rFonts w:hint="eastAsia" w:ascii="宋体" w:hAnsi="宋体" w:cs="宋体"/>
          <w:color w:val="auto"/>
          <w:kern w:val="0"/>
          <w:highlight w:val="none"/>
        </w:rPr>
        <w:t>发包</w:t>
      </w:r>
      <w:r>
        <w:rPr>
          <w:rFonts w:ascii="宋体" w:hAnsi="宋体" w:cs="宋体"/>
          <w:color w:val="auto"/>
          <w:kern w:val="0"/>
          <w:highlight w:val="none"/>
        </w:rPr>
        <w:t>项目的具体特点和实际需要，对“通用合同条款”进行补充、细化。在“专用合同条款”中补充或细化的内容，不得违反法律、行政法规的强制性规定和平等、自愿、公平和诚实信用原则。</w:t>
      </w:r>
    </w:p>
    <w:p w14:paraId="5C35CBE6">
      <w:pPr>
        <w:pStyle w:val="14"/>
        <w:spacing w:line="400" w:lineRule="exact"/>
        <w:ind w:left="0" w:firstLine="420" w:firstLineChars="200"/>
        <w:jc w:val="left"/>
        <w:rPr>
          <w:rFonts w:ascii="宋体" w:hAnsi="宋体" w:cs="宋体"/>
          <w:color w:val="auto"/>
          <w:kern w:val="0"/>
          <w:highlight w:val="none"/>
        </w:rPr>
      </w:pPr>
      <w:r>
        <w:rPr>
          <w:rFonts w:ascii="宋体" w:hAnsi="宋体" w:cs="宋体"/>
          <w:color w:val="auto"/>
          <w:kern w:val="0"/>
          <w:highlight w:val="none"/>
        </w:rPr>
        <w:t>2．专用合同条款的编号应与通用合同条款一致</w:t>
      </w:r>
      <w:r>
        <w:rPr>
          <w:rFonts w:hint="eastAsia" w:ascii="宋体" w:hAnsi="宋体" w:cs="宋体"/>
          <w:color w:val="auto"/>
          <w:kern w:val="0"/>
          <w:highlight w:val="none"/>
        </w:rPr>
        <w:t>。</w:t>
      </w:r>
    </w:p>
    <w:p w14:paraId="1602F269">
      <w:pPr>
        <w:pStyle w:val="14"/>
        <w:ind w:left="0" w:firstLine="0"/>
        <w:jc w:val="left"/>
        <w:rPr>
          <w:rFonts w:ascii="宋体" w:hAnsi="宋体" w:cs="宋体"/>
          <w:color w:val="auto"/>
          <w:kern w:val="0"/>
          <w:highlight w:val="none"/>
        </w:rPr>
      </w:pPr>
      <w:r>
        <w:rPr>
          <w:rFonts w:ascii="宋体" w:hAnsi="宋体" w:cs="宋体"/>
          <w:color w:val="auto"/>
          <w:kern w:val="0"/>
          <w:highlight w:val="none"/>
        </w:rPr>
        <w:br w:type="page"/>
      </w:r>
      <w:r>
        <w:rPr>
          <w:rFonts w:hint="eastAsia" w:ascii="宋体" w:hAnsi="宋体" w:cs="宋体"/>
          <w:color w:val="auto"/>
          <w:kern w:val="0"/>
          <w:highlight w:val="none"/>
        </w:rPr>
        <w:t xml:space="preserve">  </w:t>
      </w:r>
      <w:r>
        <w:rPr>
          <w:rFonts w:hint="eastAsia" w:ascii="宋体" w:hAnsi="宋体" w:cs="宋体"/>
          <w:color w:val="auto"/>
          <w:kern w:val="0"/>
          <w:sz w:val="28"/>
          <w:szCs w:val="28"/>
          <w:highlight w:val="none"/>
        </w:rPr>
        <w:t>根据本项目的具体情况，对通用合同条款的内容作如下补充、细化：</w:t>
      </w:r>
    </w:p>
    <w:p w14:paraId="61741F6F">
      <w:pPr>
        <w:pStyle w:val="68"/>
        <w:spacing w:line="360" w:lineRule="auto"/>
        <w:ind w:left="0" w:firstLine="0"/>
        <w:outlineLvl w:val="1"/>
        <w:rPr>
          <w:rFonts w:ascii="黑体" w:hAnsi="黑体"/>
          <w:color w:val="auto"/>
          <w:szCs w:val="24"/>
          <w:highlight w:val="none"/>
        </w:rPr>
      </w:pPr>
      <w:bookmarkStart w:id="763" w:name="_Toc2880"/>
      <w:bookmarkStart w:id="764" w:name="_Toc27962"/>
      <w:bookmarkStart w:id="765" w:name="_Toc1087"/>
      <w:bookmarkStart w:id="766" w:name="_Toc31369"/>
      <w:bookmarkStart w:id="767" w:name="_Toc4613"/>
      <w:bookmarkStart w:id="768" w:name="_Toc12308"/>
      <w:r>
        <w:rPr>
          <w:rFonts w:hint="eastAsia" w:ascii="黑体" w:hAnsi="黑体"/>
          <w:color w:val="auto"/>
          <w:szCs w:val="24"/>
          <w:highlight w:val="none"/>
        </w:rPr>
        <w:t>1.一般约定</w:t>
      </w:r>
      <w:bookmarkEnd w:id="763"/>
      <w:bookmarkEnd w:id="764"/>
      <w:bookmarkEnd w:id="765"/>
      <w:bookmarkEnd w:id="766"/>
      <w:bookmarkEnd w:id="767"/>
      <w:bookmarkEnd w:id="768"/>
    </w:p>
    <w:p w14:paraId="548BD793">
      <w:pPr>
        <w:pStyle w:val="14"/>
        <w:ind w:left="0"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t>1.1</w:t>
      </w:r>
      <w:r>
        <w:rPr>
          <w:rFonts w:hint="eastAsia" w:ascii="宋体" w:hAnsi="宋体" w:cs="宋体"/>
          <w:color w:val="auto"/>
          <w:kern w:val="0"/>
          <w:szCs w:val="21"/>
          <w:highlight w:val="none"/>
        </w:rPr>
        <w:t xml:space="preserve">  词语定义</w:t>
      </w:r>
    </w:p>
    <w:p w14:paraId="3A0747F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1.1.2.2  </w:t>
      </w:r>
      <w:r>
        <w:rPr>
          <w:rFonts w:ascii="宋体" w:hAnsi="宋体" w:cs="宋体"/>
          <w:color w:val="auto"/>
          <w:kern w:val="0"/>
          <w:szCs w:val="21"/>
          <w:highlight w:val="none"/>
        </w:rPr>
        <w:t>发包人：</w:t>
      </w:r>
      <w:r>
        <w:rPr>
          <w:rFonts w:hint="eastAsia" w:ascii="宋体" w:hAnsi="宋体" w:cs="宋体"/>
          <w:color w:val="auto"/>
          <w:kern w:val="0"/>
          <w:szCs w:val="21"/>
          <w:highlight w:val="none"/>
        </w:rPr>
        <w:t>嵊州市交通投资发展集团有限公司</w:t>
      </w:r>
    </w:p>
    <w:p w14:paraId="041864C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1.1.3.1  </w:t>
      </w:r>
      <w:r>
        <w:rPr>
          <w:rFonts w:ascii="宋体" w:hAnsi="宋体" w:cs="宋体"/>
          <w:color w:val="auto"/>
          <w:kern w:val="0"/>
          <w:szCs w:val="21"/>
          <w:highlight w:val="none"/>
        </w:rPr>
        <w:t>本次进行</w:t>
      </w:r>
      <w:r>
        <w:rPr>
          <w:rFonts w:hint="eastAsia" w:ascii="宋体" w:hAnsi="宋体" w:cs="宋体"/>
          <w:color w:val="auto"/>
          <w:kern w:val="0"/>
          <w:szCs w:val="21"/>
          <w:highlight w:val="none"/>
        </w:rPr>
        <w:t>设计发包</w:t>
      </w:r>
      <w:r>
        <w:rPr>
          <w:rFonts w:ascii="宋体" w:hAnsi="宋体" w:cs="宋体"/>
          <w:color w:val="auto"/>
          <w:kern w:val="0"/>
          <w:szCs w:val="21"/>
          <w:highlight w:val="none"/>
        </w:rPr>
        <w:t>的项目为</w:t>
      </w:r>
      <w:r>
        <w:rPr>
          <w:rFonts w:hint="eastAsia" w:ascii="宋体" w:hAnsi="宋体" w:cs="宋体"/>
          <w:color w:val="auto"/>
          <w:kern w:val="0"/>
          <w:szCs w:val="21"/>
          <w:highlight w:val="none"/>
        </w:rPr>
        <w:t>甬金高速出入口建设工程设计。</w:t>
      </w:r>
    </w:p>
    <w:p w14:paraId="3FD72F16">
      <w:pPr>
        <w:spacing w:line="360" w:lineRule="auto"/>
        <w:ind w:firstLine="420" w:firstLineChars="200"/>
        <w:rPr>
          <w:snapToGrid w:val="0"/>
          <w:color w:val="auto"/>
          <w:highlight w:val="none"/>
        </w:rPr>
      </w:pPr>
      <w:r>
        <w:rPr>
          <w:rFonts w:hint="eastAsia" w:ascii="宋体" w:hAnsi="宋体" w:cs="宋体"/>
          <w:color w:val="auto"/>
          <w:kern w:val="0"/>
          <w:szCs w:val="21"/>
          <w:highlight w:val="none"/>
        </w:rPr>
        <w:t xml:space="preserve">1.1.3.2  </w:t>
      </w:r>
      <w:r>
        <w:rPr>
          <w:rFonts w:ascii="宋体" w:hAnsi="宋体" w:cs="宋体"/>
          <w:color w:val="auto"/>
          <w:kern w:val="0"/>
          <w:szCs w:val="21"/>
          <w:highlight w:val="none"/>
        </w:rPr>
        <w:t>本合同包括的具体</w:t>
      </w:r>
      <w:r>
        <w:rPr>
          <w:rFonts w:hint="eastAsia" w:ascii="宋体" w:hAnsi="宋体" w:cs="宋体"/>
          <w:color w:val="auto"/>
          <w:kern w:val="0"/>
          <w:szCs w:val="21"/>
          <w:highlight w:val="none"/>
        </w:rPr>
        <w:t>设计</w:t>
      </w:r>
      <w:r>
        <w:rPr>
          <w:rFonts w:ascii="宋体" w:hAnsi="宋体" w:cs="宋体"/>
          <w:color w:val="auto"/>
          <w:kern w:val="0"/>
          <w:szCs w:val="21"/>
          <w:highlight w:val="none"/>
        </w:rPr>
        <w:t>服务内容：</w:t>
      </w:r>
      <w:r>
        <w:rPr>
          <w:rFonts w:hint="eastAsia"/>
          <w:snapToGrid w:val="0"/>
          <w:color w:val="auto"/>
          <w:highlight w:val="none"/>
        </w:rPr>
        <w:t>发包范围包括：甬金高速出入口建设工程的路基、路面（含排水）、交通安全设施等的工程勘察、初步设计、技术设计（如需要）、施工图设计、概预算文件编制、施工发包用图纸和工程量清单、施工项目专用技术规范编制及后续服务。</w:t>
      </w:r>
    </w:p>
    <w:p w14:paraId="6712B81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1.1.3.6  </w:t>
      </w:r>
      <w:r>
        <w:rPr>
          <w:rFonts w:ascii="宋体" w:hAnsi="宋体" w:cs="宋体"/>
          <w:color w:val="auto"/>
          <w:kern w:val="0"/>
          <w:szCs w:val="21"/>
          <w:highlight w:val="none"/>
        </w:rPr>
        <w:t>本合同包括的具体</w:t>
      </w:r>
      <w:r>
        <w:rPr>
          <w:rFonts w:hint="eastAsia" w:ascii="宋体" w:hAnsi="宋体" w:cs="宋体"/>
          <w:color w:val="auto"/>
          <w:kern w:val="0"/>
          <w:szCs w:val="21"/>
          <w:highlight w:val="none"/>
        </w:rPr>
        <w:t>设计文</w:t>
      </w:r>
      <w:r>
        <w:rPr>
          <w:rFonts w:ascii="宋体" w:hAnsi="宋体" w:cs="宋体"/>
          <w:color w:val="auto"/>
          <w:kern w:val="0"/>
          <w:szCs w:val="21"/>
          <w:highlight w:val="none"/>
        </w:rPr>
        <w:t>件：</w:t>
      </w:r>
      <w:r>
        <w:rPr>
          <w:rFonts w:hint="eastAsia" w:ascii="宋体" w:hAnsi="宋体" w:cs="宋体"/>
          <w:color w:val="auto"/>
          <w:kern w:val="0"/>
          <w:szCs w:val="21"/>
          <w:highlight w:val="none"/>
        </w:rPr>
        <w:t>总体设计大纲及初步设计、技术设计（如需要）、施工图设计、概预算文件编制、施工发包用图纸和工程量清单、施工项目专用技术规范编制及后续服务等有关项目文件。</w:t>
      </w:r>
    </w:p>
    <w:p w14:paraId="7757CACA">
      <w:pPr>
        <w:pStyle w:val="14"/>
        <w:ind w:left="0" w:firstLine="424" w:firstLineChars="200"/>
        <w:jc w:val="left"/>
        <w:rPr>
          <w:rFonts w:ascii="宋体" w:hAnsi="宋体" w:cs="宋体"/>
          <w:color w:val="auto"/>
          <w:kern w:val="0"/>
          <w:szCs w:val="21"/>
          <w:highlight w:val="none"/>
        </w:rPr>
      </w:pPr>
      <w:r>
        <w:rPr>
          <w:rFonts w:hint="eastAsia" w:ascii="宋体" w:hAnsi="宋体"/>
          <w:color w:val="auto"/>
          <w:spacing w:val="1"/>
          <w:szCs w:val="21"/>
          <w:highlight w:val="none"/>
        </w:rPr>
        <w:t>补</w:t>
      </w:r>
      <w:r>
        <w:rPr>
          <w:rFonts w:hint="eastAsia" w:ascii="宋体" w:hAnsi="宋体" w:cs="宋体"/>
          <w:color w:val="auto"/>
          <w:kern w:val="0"/>
          <w:szCs w:val="21"/>
          <w:highlight w:val="none"/>
        </w:rPr>
        <w:t>充第1.1.3.7目：</w:t>
      </w:r>
    </w:p>
    <w:p w14:paraId="65102D5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1.1.3.7  动态设计：指按现有地质勘察规范要求难以完全准确掌握地质情况，需根据施工过程中获取准确地质情况后对施工图设计进行补充、修改和完善的设计方法。动态设计是施工图设计的延伸，是对已批准施工图设计文件的完善。</w:t>
      </w:r>
    </w:p>
    <w:p w14:paraId="5C282E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  文件的提供和照管</w:t>
      </w:r>
    </w:p>
    <w:p w14:paraId="7897979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第1.6.2项细化为：</w:t>
      </w:r>
    </w:p>
    <w:p w14:paraId="1338242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1.6.2  发包人提供的文件</w:t>
      </w:r>
    </w:p>
    <w:p w14:paraId="39DC5B5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发包人负责提供的文件包括：项目建议书及其它所需文件（如有），提供数量：1，提供期限：合同签订后提供。</w:t>
      </w:r>
    </w:p>
    <w:p w14:paraId="1226CF1C">
      <w:pPr>
        <w:pStyle w:val="68"/>
        <w:spacing w:line="360" w:lineRule="auto"/>
        <w:ind w:left="0" w:firstLine="0"/>
        <w:outlineLvl w:val="1"/>
        <w:rPr>
          <w:rFonts w:ascii="黑体" w:hAnsi="黑体"/>
          <w:color w:val="auto"/>
          <w:szCs w:val="24"/>
          <w:highlight w:val="none"/>
        </w:rPr>
      </w:pPr>
      <w:bookmarkStart w:id="769" w:name="_Toc5434"/>
      <w:bookmarkStart w:id="770" w:name="_Toc25030"/>
      <w:bookmarkStart w:id="771" w:name="_Toc12252"/>
      <w:bookmarkStart w:id="772" w:name="_Toc25839"/>
      <w:bookmarkStart w:id="773" w:name="_Toc26655"/>
      <w:bookmarkStart w:id="774" w:name="_Toc12490"/>
      <w:r>
        <w:rPr>
          <w:rFonts w:hint="eastAsia" w:ascii="黑体" w:hAnsi="黑体"/>
          <w:color w:val="auto"/>
          <w:szCs w:val="24"/>
          <w:highlight w:val="none"/>
        </w:rPr>
        <w:t>2.发包人义务</w:t>
      </w:r>
      <w:bookmarkEnd w:id="769"/>
      <w:bookmarkEnd w:id="770"/>
      <w:bookmarkEnd w:id="771"/>
      <w:bookmarkEnd w:id="772"/>
      <w:bookmarkEnd w:id="773"/>
      <w:bookmarkEnd w:id="774"/>
    </w:p>
    <w:p w14:paraId="2A3DB8C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2.6  其他义务</w:t>
      </w:r>
    </w:p>
    <w:p w14:paraId="4491D05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第2.6.1项细化为：</w:t>
      </w:r>
    </w:p>
    <w:p w14:paraId="68F641B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发包人要加强设计源头管理，保障设计阶段时间充裕，确保勘察、设计深度和精细化。</w:t>
      </w:r>
    </w:p>
    <w:p w14:paraId="3155500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第2.6.2项细化为：</w:t>
      </w:r>
    </w:p>
    <w:p w14:paraId="2894FDA8">
      <w:pPr>
        <w:pStyle w:val="14"/>
        <w:ind w:left="0" w:firstLine="420" w:firstLineChars="200"/>
        <w:jc w:val="left"/>
        <w:rPr>
          <w:rFonts w:ascii="宋体" w:hAnsi="宋体"/>
          <w:color w:val="auto"/>
          <w:szCs w:val="21"/>
          <w:highlight w:val="none"/>
        </w:rPr>
      </w:pPr>
      <w:r>
        <w:rPr>
          <w:rFonts w:hint="eastAsia" w:ascii="宋体" w:hAnsi="宋体" w:cs="宋体"/>
          <w:color w:val="auto"/>
          <w:kern w:val="0"/>
          <w:szCs w:val="21"/>
          <w:highlight w:val="none"/>
        </w:rPr>
        <w:t>2.6.2 发包人应组织专家或委托咨询单位对设计文件和为了满足设计需要而进行的各种研究试验成果进行审查，并负责设计文件的报审工作，设计人应予以协助，发包人向设计人提供上级主管部门对设计文件进行审查后的批复意见。对设计人在贯彻落实审查意见时提出的有关问题应及时认真予以解答，但并不免除设计人根据本合同规定应负的责任。</w:t>
      </w:r>
    </w:p>
    <w:p w14:paraId="052A53EC">
      <w:pPr>
        <w:spacing w:before="162" w:line="361" w:lineRule="auto"/>
        <w:ind w:left="429" w:right="823" w:firstLine="3"/>
        <w:rPr>
          <w:rFonts w:ascii="宋体" w:hAnsi="宋体" w:cs="宋体"/>
          <w:color w:val="auto"/>
          <w:sz w:val="20"/>
          <w:szCs w:val="20"/>
          <w:highlight w:val="none"/>
        </w:rPr>
      </w:pPr>
      <w:bookmarkStart w:id="775" w:name="_Toc16472"/>
      <w:bookmarkStart w:id="776" w:name="_Toc29864"/>
      <w:bookmarkStart w:id="777" w:name="_Toc396"/>
      <w:r>
        <w:rPr>
          <w:rFonts w:ascii="宋体" w:hAnsi="宋体" w:cs="宋体"/>
          <w:b/>
          <w:bCs/>
          <w:color w:val="auto"/>
          <w:spacing w:val="3"/>
          <w:sz w:val="20"/>
          <w:szCs w:val="20"/>
          <w:highlight w:val="none"/>
        </w:rPr>
        <w:t>第2.6.5项细化为：</w:t>
      </w:r>
    </w:p>
    <w:p w14:paraId="47BEFD30">
      <w:pPr>
        <w:spacing w:before="35" w:line="228" w:lineRule="auto"/>
        <w:ind w:left="432"/>
        <w:rPr>
          <w:rFonts w:ascii="宋体" w:hAnsi="宋体" w:cs="宋体"/>
          <w:color w:val="auto"/>
          <w:sz w:val="20"/>
          <w:szCs w:val="20"/>
          <w:highlight w:val="none"/>
        </w:rPr>
      </w:pPr>
      <w:r>
        <w:rPr>
          <w:rFonts w:ascii="宋体" w:hAnsi="宋体" w:cs="宋体"/>
          <w:b/>
          <w:bCs/>
          <w:color w:val="auto"/>
          <w:spacing w:val="6"/>
          <w:sz w:val="20"/>
          <w:szCs w:val="20"/>
          <w:highlight w:val="none"/>
        </w:rPr>
        <w:t>发包人应履行的其他义务：</w:t>
      </w:r>
    </w:p>
    <w:p w14:paraId="56CDAD2B">
      <w:pPr>
        <w:spacing w:before="163" w:line="371" w:lineRule="auto"/>
        <w:ind w:left="11" w:firstLine="428"/>
        <w:rPr>
          <w:rFonts w:ascii="宋体" w:hAnsi="宋体" w:cs="宋体"/>
          <w:color w:val="auto"/>
          <w:sz w:val="20"/>
          <w:szCs w:val="20"/>
          <w:highlight w:val="none"/>
        </w:rPr>
      </w:pPr>
      <w:r>
        <w:rPr>
          <w:rFonts w:ascii="宋体" w:hAnsi="宋体" w:cs="宋体"/>
          <w:b/>
          <w:bCs/>
          <w:color w:val="auto"/>
          <w:spacing w:val="7"/>
          <w:sz w:val="20"/>
          <w:szCs w:val="20"/>
          <w:highlight w:val="none"/>
        </w:rPr>
        <w:t>（1）发包人应履行的其他义务：发包人应充分落实交通运输部《关于进一步加强公路勘察设计工作的若干意见》（交公路发[2011]504号）、交通运输部《关于</w:t>
      </w:r>
      <w:r>
        <w:rPr>
          <w:rFonts w:ascii="宋体" w:hAnsi="宋体" w:cs="宋体"/>
          <w:b/>
          <w:bCs/>
          <w:color w:val="auto"/>
          <w:spacing w:val="6"/>
          <w:sz w:val="20"/>
          <w:szCs w:val="20"/>
          <w:highlight w:val="none"/>
        </w:rPr>
        <w:t>进一步加强普通公路勘察设计和建</w:t>
      </w:r>
      <w:r>
        <w:rPr>
          <w:rFonts w:ascii="宋体" w:hAnsi="宋体" w:cs="宋体"/>
          <w:color w:val="auto"/>
          <w:sz w:val="20"/>
          <w:szCs w:val="20"/>
          <w:highlight w:val="none"/>
        </w:rPr>
        <w:t xml:space="preserve">  </w:t>
      </w:r>
      <w:r>
        <w:rPr>
          <w:rFonts w:ascii="宋体" w:hAnsi="宋体" w:cs="宋体"/>
          <w:b/>
          <w:bCs/>
          <w:color w:val="auto"/>
          <w:spacing w:val="7"/>
          <w:sz w:val="20"/>
          <w:szCs w:val="20"/>
          <w:highlight w:val="none"/>
        </w:rPr>
        <w:t>设管理工作的指导意见》（交公路发[2022]71号）及浙江省交通运输厅</w:t>
      </w:r>
      <w:r>
        <w:rPr>
          <w:rFonts w:ascii="宋体" w:hAnsi="宋体" w:cs="宋体"/>
          <w:b/>
          <w:bCs/>
          <w:color w:val="auto"/>
          <w:spacing w:val="5"/>
          <w:sz w:val="20"/>
          <w:szCs w:val="20"/>
          <w:highlight w:val="none"/>
        </w:rPr>
        <w:t>《关于进一步加强普通国省道公</w:t>
      </w:r>
      <w:r>
        <w:rPr>
          <w:rFonts w:ascii="宋体" w:hAnsi="宋体" w:cs="宋体"/>
          <w:color w:val="auto"/>
          <w:sz w:val="20"/>
          <w:szCs w:val="20"/>
          <w:highlight w:val="none"/>
        </w:rPr>
        <w:t xml:space="preserve">  </w:t>
      </w:r>
      <w:r>
        <w:rPr>
          <w:rFonts w:ascii="宋体" w:hAnsi="宋体" w:cs="宋体"/>
          <w:b/>
          <w:bCs/>
          <w:color w:val="auto"/>
          <w:spacing w:val="6"/>
          <w:sz w:val="20"/>
          <w:szCs w:val="20"/>
          <w:highlight w:val="none"/>
        </w:rPr>
        <w:t>路工程勘察设计管理工作的若干意见》（浙交[2017]52号）等文件精神，做好勘察外业监管核查</w:t>
      </w:r>
      <w:r>
        <w:rPr>
          <w:rFonts w:ascii="宋体" w:hAnsi="宋体" w:cs="宋体"/>
          <w:b/>
          <w:bCs/>
          <w:color w:val="auto"/>
          <w:spacing w:val="7"/>
          <w:sz w:val="20"/>
          <w:szCs w:val="20"/>
          <w:highlight w:val="none"/>
        </w:rPr>
        <w:t>工作，组织做好</w:t>
      </w:r>
      <w:r>
        <w:rPr>
          <w:rFonts w:hint="eastAsia" w:ascii="宋体" w:hAnsi="宋体" w:cs="宋体"/>
          <w:b/>
          <w:bCs/>
          <w:color w:val="auto"/>
          <w:spacing w:val="7"/>
          <w:sz w:val="20"/>
          <w:szCs w:val="20"/>
          <w:highlight w:val="none"/>
        </w:rPr>
        <w:t>设计</w:t>
      </w:r>
      <w:r>
        <w:rPr>
          <w:rFonts w:ascii="宋体" w:hAnsi="宋体" w:cs="宋体"/>
          <w:b/>
          <w:bCs/>
          <w:color w:val="auto"/>
          <w:spacing w:val="7"/>
          <w:sz w:val="20"/>
          <w:szCs w:val="20"/>
          <w:highlight w:val="none"/>
        </w:rPr>
        <w:t>各阶段事先指导书审</w:t>
      </w:r>
      <w:r>
        <w:rPr>
          <w:rFonts w:ascii="宋体" w:hAnsi="宋体" w:cs="宋体"/>
          <w:b/>
          <w:bCs/>
          <w:color w:val="auto"/>
          <w:spacing w:val="6"/>
          <w:sz w:val="20"/>
          <w:szCs w:val="20"/>
          <w:highlight w:val="none"/>
        </w:rPr>
        <w:t>查和成果验收工作，做好各阶段设计成果初审、核查及</w:t>
      </w:r>
      <w:r>
        <w:rPr>
          <w:rFonts w:ascii="宋体" w:hAnsi="宋体" w:cs="宋体"/>
          <w:b/>
          <w:bCs/>
          <w:color w:val="auto"/>
          <w:spacing w:val="3"/>
          <w:sz w:val="20"/>
          <w:szCs w:val="20"/>
          <w:highlight w:val="none"/>
        </w:rPr>
        <w:t>审查工作。</w:t>
      </w:r>
    </w:p>
    <w:p w14:paraId="28A4AFB5">
      <w:pPr>
        <w:spacing w:before="43" w:line="362" w:lineRule="auto"/>
        <w:ind w:left="8" w:right="62" w:firstLine="430"/>
        <w:outlineLvl w:val="1"/>
        <w:rPr>
          <w:rFonts w:ascii="黑体" w:hAnsi="黑体"/>
          <w:color w:val="auto"/>
          <w:szCs w:val="24"/>
          <w:highlight w:val="none"/>
        </w:rPr>
      </w:pPr>
      <w:bookmarkStart w:id="778" w:name="_Toc14272"/>
      <w:bookmarkStart w:id="779" w:name="_Toc11190"/>
      <w:bookmarkStart w:id="780" w:name="_Toc14258"/>
      <w:bookmarkStart w:id="781" w:name="_Toc711"/>
      <w:r>
        <w:rPr>
          <w:rFonts w:ascii="宋体" w:hAnsi="宋体" w:cs="宋体"/>
          <w:b/>
          <w:bCs/>
          <w:color w:val="auto"/>
          <w:spacing w:val="7"/>
          <w:sz w:val="20"/>
          <w:szCs w:val="20"/>
          <w:highlight w:val="none"/>
        </w:rPr>
        <w:t>（2）发包人应对设计人与地方政府及有关部门的协调工作提供必要的协助，但不免除设计人根</w:t>
      </w:r>
      <w:r>
        <w:rPr>
          <w:rFonts w:ascii="宋体" w:hAnsi="宋体" w:cs="宋体"/>
          <w:color w:val="auto"/>
          <w:spacing w:val="3"/>
          <w:sz w:val="20"/>
          <w:szCs w:val="20"/>
          <w:highlight w:val="none"/>
        </w:rPr>
        <w:t xml:space="preserve"> </w:t>
      </w:r>
      <w:r>
        <w:rPr>
          <w:rFonts w:ascii="宋体" w:hAnsi="宋体" w:cs="宋体"/>
          <w:b/>
          <w:bCs/>
          <w:color w:val="auto"/>
          <w:spacing w:val="7"/>
          <w:sz w:val="20"/>
          <w:szCs w:val="20"/>
          <w:highlight w:val="none"/>
        </w:rPr>
        <w:t>据本合同规定应负的责任，且应保证满足</w:t>
      </w:r>
      <w:r>
        <w:rPr>
          <w:rFonts w:hint="eastAsia" w:ascii="宋体" w:hAnsi="宋体" w:cs="宋体"/>
          <w:b/>
          <w:bCs/>
          <w:color w:val="auto"/>
          <w:spacing w:val="7"/>
          <w:sz w:val="20"/>
          <w:szCs w:val="20"/>
          <w:highlight w:val="none"/>
        </w:rPr>
        <w:t>设计</w:t>
      </w:r>
      <w:r>
        <w:rPr>
          <w:rFonts w:ascii="宋体" w:hAnsi="宋体" w:cs="宋体"/>
          <w:b/>
          <w:bCs/>
          <w:color w:val="auto"/>
          <w:spacing w:val="7"/>
          <w:sz w:val="20"/>
          <w:szCs w:val="20"/>
          <w:highlight w:val="none"/>
        </w:rPr>
        <w:t>周期、质量等方面的要求。</w:t>
      </w:r>
      <w:bookmarkEnd w:id="778"/>
      <w:bookmarkEnd w:id="779"/>
      <w:bookmarkEnd w:id="780"/>
      <w:bookmarkEnd w:id="781"/>
    </w:p>
    <w:p w14:paraId="5C9B0EFA">
      <w:pPr>
        <w:pStyle w:val="68"/>
        <w:spacing w:line="360" w:lineRule="auto"/>
        <w:ind w:left="0" w:firstLine="0"/>
        <w:outlineLvl w:val="1"/>
        <w:rPr>
          <w:rFonts w:ascii="黑体" w:hAnsi="黑体"/>
          <w:color w:val="auto"/>
          <w:szCs w:val="24"/>
          <w:highlight w:val="none"/>
        </w:rPr>
      </w:pPr>
      <w:bookmarkStart w:id="782" w:name="_Toc24673"/>
      <w:bookmarkStart w:id="783" w:name="_Toc25786"/>
      <w:bookmarkStart w:id="784" w:name="_Toc30832"/>
      <w:r>
        <w:rPr>
          <w:rFonts w:hint="eastAsia" w:ascii="黑体" w:hAnsi="黑体"/>
          <w:color w:val="auto"/>
          <w:szCs w:val="24"/>
          <w:highlight w:val="none"/>
        </w:rPr>
        <w:t>3.发包人管理</w:t>
      </w:r>
      <w:bookmarkEnd w:id="775"/>
      <w:bookmarkEnd w:id="776"/>
      <w:bookmarkEnd w:id="777"/>
      <w:bookmarkEnd w:id="782"/>
      <w:bookmarkEnd w:id="783"/>
      <w:bookmarkEnd w:id="784"/>
    </w:p>
    <w:p w14:paraId="25A956A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  监理人</w:t>
      </w:r>
    </w:p>
    <w:p w14:paraId="66D1984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3.2.1  本工程是否委托监理人进行设计监理： 另行通知 。</w:t>
      </w:r>
    </w:p>
    <w:p w14:paraId="7633CF4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如进行设计监理，监理人的监理范围包括： 另行通知 ；职责权限：  另行通知  ；总监理工程师： 另行通知  。</w:t>
      </w:r>
    </w:p>
    <w:p w14:paraId="4F0B35F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细化3.3.5款：</w:t>
      </w:r>
    </w:p>
    <w:p w14:paraId="3442A36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3.3.5 由于发包人未能按合同约定发出指示、指示延误或指示错误而导致设计人费用增加和（或）周期延误的，发包人应承担由此增加的周期延误，相关设计人费用的增加不另行支付。</w:t>
      </w:r>
    </w:p>
    <w:p w14:paraId="11E464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3.4  决定或答复</w:t>
      </w:r>
    </w:p>
    <w:p w14:paraId="593025C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3.4.2  发包人应在收到设计人书面提出的事项后 7 天内作出书面答复。</w:t>
      </w:r>
    </w:p>
    <w:p w14:paraId="4BB7B932">
      <w:pPr>
        <w:pStyle w:val="68"/>
        <w:spacing w:line="360" w:lineRule="auto"/>
        <w:ind w:left="0" w:firstLine="0"/>
        <w:outlineLvl w:val="1"/>
        <w:rPr>
          <w:rFonts w:ascii="黑体" w:hAnsi="黑体"/>
          <w:color w:val="auto"/>
          <w:szCs w:val="24"/>
          <w:highlight w:val="none"/>
        </w:rPr>
      </w:pPr>
      <w:bookmarkStart w:id="785" w:name="_Toc25315"/>
      <w:bookmarkStart w:id="786" w:name="_Toc24861"/>
      <w:bookmarkStart w:id="787" w:name="_Toc32359"/>
      <w:bookmarkStart w:id="788" w:name="_Toc5420"/>
      <w:bookmarkStart w:id="789" w:name="_Toc15040"/>
      <w:bookmarkStart w:id="790" w:name="_Toc2512"/>
      <w:r>
        <w:rPr>
          <w:rFonts w:hint="eastAsia" w:ascii="黑体" w:hAnsi="黑体"/>
          <w:color w:val="auto"/>
          <w:szCs w:val="24"/>
          <w:highlight w:val="none"/>
        </w:rPr>
        <w:t>4.设计人义务</w:t>
      </w:r>
      <w:bookmarkEnd w:id="785"/>
      <w:bookmarkEnd w:id="786"/>
      <w:bookmarkEnd w:id="787"/>
      <w:bookmarkEnd w:id="788"/>
      <w:bookmarkEnd w:id="789"/>
      <w:bookmarkEnd w:id="790"/>
    </w:p>
    <w:p w14:paraId="716CB5C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  设计人的一般义务</w:t>
      </w:r>
    </w:p>
    <w:p w14:paraId="6D921FE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第4.1.1项细化为：</w:t>
      </w:r>
    </w:p>
    <w:p w14:paraId="0705368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4.1.1 设计人在履行合同过程中应遵守法律、法规、行政规章、规范、标准，并保证发包人免于承担因设计人违反上述规定而引起的任何责任。设计人应根据本合同工程的具体情况，按照设计技术要求的规定，完成本合同工程的设计工作。在设计过程中，国家或有关部门的法律、法规、行政规章、规范、标准发生更新时，须按照更新的内容进行设计，由此增加的费用竞包人在报价中统一考虑，发包人不再另行单独支付。</w:t>
      </w:r>
    </w:p>
    <w:p w14:paraId="00EBCE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 其他义务</w:t>
      </w:r>
    </w:p>
    <w:p w14:paraId="2A9D4A5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第4.1.6.5目细化为：</w:t>
      </w:r>
    </w:p>
    <w:p w14:paraId="10DBA1B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设计人应根据设计需要和发包范围明确的项目开展专项评价（估）工作，提交相应报告，并通过发包人或上级主管部门的审查或评审。</w:t>
      </w:r>
    </w:p>
    <w:p w14:paraId="6E71352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第4.1.6.6目细化为：</w:t>
      </w:r>
    </w:p>
    <w:p w14:paraId="01C1CCBB">
      <w:pPr>
        <w:pStyle w:val="14"/>
        <w:ind w:left="0" w:firstLine="420" w:firstLineChars="200"/>
        <w:jc w:val="left"/>
        <w:rPr>
          <w:rFonts w:ascii="仿宋" w:hAnsi="仿宋" w:cs="仿宋"/>
          <w:color w:val="auto"/>
          <w:kern w:val="0"/>
          <w:highlight w:val="none"/>
        </w:rPr>
      </w:pPr>
      <w:r>
        <w:rPr>
          <w:rFonts w:hint="eastAsia" w:ascii="宋体" w:hAnsi="宋体" w:cs="宋体"/>
          <w:color w:val="auto"/>
          <w:kern w:val="0"/>
          <w:szCs w:val="21"/>
          <w:highlight w:val="none"/>
        </w:rPr>
        <w:t>4.1.6.6 在项目实施过程中，设计人应按照发包人的要求落实贯彻和执行浙江省交通运输厅“品质工程”、《浙江省交通建设工程推进平安百年品质工程建设实施方案》（浙交〔2023〕132 号）等文件精神并落实在项目工作中，由此产生的费用均已包含在竞包总价中，发包人不另行支付。</w:t>
      </w:r>
      <w:r>
        <w:rPr>
          <w:rFonts w:hint="eastAsia" w:ascii="仿宋" w:hAnsi="仿宋" w:cs="仿宋"/>
          <w:color w:val="auto"/>
          <w:kern w:val="0"/>
          <w:highlight w:val="none"/>
        </w:rPr>
        <w:t>本项目设计人具体应做好以下工作：</w:t>
      </w:r>
    </w:p>
    <w:p w14:paraId="3339C2FD">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（1）设计人对深厚软基、新旧路基拼宽等重难点路段路基进行专篇设计，提高路基沉降设计要求。</w:t>
      </w:r>
    </w:p>
    <w:p w14:paraId="44725D11">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2）设计人需加强交通数据调查分析，应用现场交通量观测等手段获取交通荷载参数，为区域性路面设计提供依据。路基路面设计须优先选用耐久性好、全生命周期成本低、便于养护的结构，明确设计选型的经济性和可持续性。</w:t>
      </w:r>
    </w:p>
    <w:p w14:paraId="7C5B79EC">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3）设计人应采用物联网等数字化手段，提交符合“浙路品质”平台的数字化设计文件，并支持参建方数字化管理平台建设、施工阶段数据交换和自动化控制。通过“浙路品质”平台实现设计、施工、监管全链条数据互通，确保动态评价和问题闭环整改。</w:t>
      </w:r>
    </w:p>
    <w:p w14:paraId="62DCC66F">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（4）高边坡工程须提出风险管控专项措施。</w:t>
      </w:r>
    </w:p>
    <w:p w14:paraId="54E6FF50">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（5）施工图设计须包含有毒有害气体监测、扬尘控制及生态保护专项设计，落实避绕环境敏感点、少占耕地农田等要求。</w:t>
      </w:r>
    </w:p>
    <w:p w14:paraId="450CE095">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（6)过动态评价和第三方检测查明由于设计原因导致关键指标（如路面平整度、压实度）不合格的，设计人应无偿修改并承担检测费用。</w:t>
      </w:r>
    </w:p>
    <w:p w14:paraId="540B1E15">
      <w:pPr>
        <w:pStyle w:val="14"/>
        <w:numPr>
          <w:ilvl w:val="255"/>
          <w:numId w:val="0"/>
        </w:numPr>
        <w:ind w:firstLine="420" w:firstLineChars="200"/>
        <w:jc w:val="left"/>
        <w:rPr>
          <w:rFonts w:ascii="仿宋" w:hAnsi="仿宋" w:cs="仿宋"/>
          <w:color w:val="auto"/>
          <w:kern w:val="0"/>
          <w:highlight w:val="none"/>
        </w:rPr>
      </w:pPr>
      <w:r>
        <w:rPr>
          <w:rFonts w:hint="eastAsia" w:ascii="仿宋" w:hAnsi="仿宋" w:cs="仿宋"/>
          <w:color w:val="auto"/>
          <w:kern w:val="0"/>
          <w:highlight w:val="none"/>
        </w:rPr>
        <w:t>(7)落实工程质量终身责任制，设计人及负责人需签署书面承诺。</w:t>
      </w:r>
    </w:p>
    <w:p w14:paraId="52F0A9D6">
      <w:pPr>
        <w:pStyle w:val="14"/>
        <w:adjustRightInd/>
        <w:ind w:left="0" w:firstLine="420" w:firstLineChars="200"/>
        <w:jc w:val="left"/>
        <w:rPr>
          <w:rFonts w:ascii="宋体" w:hAnsi="宋体" w:cs="宋体"/>
          <w:color w:val="auto"/>
          <w:kern w:val="0"/>
          <w:szCs w:val="21"/>
          <w:highlight w:val="none"/>
        </w:rPr>
      </w:pPr>
      <w:r>
        <w:rPr>
          <w:rFonts w:hint="eastAsia" w:ascii="仿宋" w:hAnsi="仿宋" w:cs="仿宋"/>
          <w:color w:val="auto"/>
          <w:kern w:val="0"/>
          <w:highlight w:val="none"/>
        </w:rPr>
        <w:t>(8)发包人将根据设计人平安百年品质工程建设要求落实情况纳入信用评价履约信誉中进行考核。</w:t>
      </w:r>
    </w:p>
    <w:p w14:paraId="37F18A1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补充第4.1.6.7目至第4.1.6.19目：</w:t>
      </w:r>
    </w:p>
    <w:p w14:paraId="58D6777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4.1.6.7 在项目实施过程中，设计人应按照发包人的要求落实贯彻和执行交通运输部《公路勘察设计工序管理试行办法》、《浙江省交通建设工程质量和安全生产管理条例》、《关于进一步加强公路勘察设计工作的若干意见》（交公路发〔2011〕504号文）、交通运输部《交通运输部关于打造公路水运品质工程的指导意见》（交安监发〔2016〕216号）、浙江省交通运输厅《关于开展浙江省公路水运"品质工程"建设活动的指导意见》（浙交〔2016〕112号）、浙江省交通运输厅《关于进一步提高公路设计质量的若干意见》（浙交〔2009〕100号）、《交通运输部关于印发&lt;加快推进绿色循环低碳交通运输发展指导意见&gt;的通知》（交政法发〔2013〕323号）、《关于实施绿色公路建设的指导意见》（交办公路〔2016〕93号）、《公路工程竣（交）工验收办法》（交通部2004年3号令）、《公路工程竣（交）工验收办法实施细则》（交公路发〔2010〕65号）、《浙江省公路工程竣（交）工验收办法》（浙交〔2019〕184号）、交通运输部关于进一步提升公路防灾抗灾能力的指导意见-交公路发〔2024〕76号、《交通运输部关于进一步加强普通公路勘察设计和建设管理工作的指导意见》（交公路发〔2022〕71号）、《交通运输部关于进一步提升公路桥梁安全耐久水平的意见》、《省交通运输厅关于进一步提升全省公路沥青路面工程质量的十条指导意见》、《浙江省交通运输厅关于高水平推进公路水运工程工业化建造的若干意见（试行）》。</w:t>
      </w:r>
    </w:p>
    <w:p w14:paraId="7FCD2F6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4.1.6.8 贯彻“以人为本，安全至上”理念，提升项目工程的安全水平</w:t>
      </w:r>
    </w:p>
    <w:p w14:paraId="7076275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始终应将“以人为本，安全至上”的理念贯穿于设计的全过程。设计人应根据本项目实际情况，在管线迁改风险评估（含精探）的基础上，贯彻“安全选线”的原则，提出合理的管线迁改方案、做好路线方案比选工作。同时，对交通工程及沿线设施应加强其针对性设计。对特殊复杂桥梁工程，应认真组织开展公路桥梁工程安全风险评估工作，确保结构安全可靠、技术经济合理。应高度重视沿线气象、水文、地质等建设条件的调查工作，加强防护工程设计，进一步提高防灾抗灾能力，尽最大努力减少项目工程的水损坏，确保项目工程的畅通和安全。</w:t>
      </w:r>
    </w:p>
    <w:p w14:paraId="03EDBF7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4.1.6.9 贯彻“生态环保、资源节约”理念，促进项目工程可持续发展。</w:t>
      </w:r>
    </w:p>
    <w:p w14:paraId="5476033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设计中特别是在选取路线方案时要认真贯彻“生态环保选线”的原则，在满足规范标准的前提下，使路线尽量与地形相拟合，路基尽可能避免高填深挖，以减少对自然生态环境的破坏。路线尽量避免经过水源地保护区、风景名胜区、自然保护区、水土保持敏感区等区域，有影响时应做好环境影响、水土保持评价工作，采取相应保护措施。</w:t>
      </w:r>
    </w:p>
    <w:p w14:paraId="2C31CD1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设计中应当统筹利用线位资源，将减少土地占用、减少矿产资源压覆作为路线方案选择和优化的重要指标，合理确定建设规模和方案，提高土地的集约利用程度，减少对土地的分割，尽可能不占或少占耕地，合理设置取弃土场，尽量复耕还田。</w:t>
      </w:r>
    </w:p>
    <w:p w14:paraId="47E2068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设计人在设计阶段必须充分调查、充分考虑建筑材料来源，以节约、合理利用资源。</w:t>
      </w:r>
    </w:p>
    <w:p w14:paraId="325C57A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4.1.6.10 设计人在设计过程中所发生的临时便道、便桥、临时电力、临时用水、砍伐树木、果树、农作物损失等均由设计人自行解决，费用含在相关报价中，发包人不另行单独支付，在设计过程中所造成的一切损坏需予以补偿的，均由设计人承担。</w:t>
      </w:r>
    </w:p>
    <w:p w14:paraId="5341F5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4.1.6.11 设计人应在钻探工作开始10天前将钻探的布孔、孔位、数量，钻孔的深度、孔径等方案报发包人备案。布孔应尽量布置在实际桩位上，发包人对设计人的钻探布孔方案无异议后，设计人按报备方案开展钻探工作，但并不免除设计人勘察质量的责任。钻探后孔位、钻孔深度、孔径必须达到规定的要求。同时还应提高岩芯采取率，尤其是对破碎岩层的软弱夹层、软岩、软土等地层，更要保证取样质量和岩芯采取率。设计人的地质钻探应符合交通运输部公路工程地质勘察的相关规定。</w:t>
      </w:r>
    </w:p>
    <w:p w14:paraId="470DA1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4.1.6.12 设计人应严格按《公路工程地质勘察规范》进行工程地质和水文地质的内、外业工作。</w:t>
      </w:r>
    </w:p>
    <w:p w14:paraId="1BFA785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(1)外业勘测前，设计人应按批准的外业勘测与地质勘察指导书，对参加本标段地勘工作的技术人员、现场作业人员进行上岗前的统一培训，统一外业资料格式，实行标准化作业。</w:t>
      </w:r>
    </w:p>
    <w:p w14:paraId="6ECE764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在外业勘察过程中加强现场检查。各项地勘工作都应有设计人派出的专业技术人员在现场实行质量管理和全过程监督，逐个钻孔应有日检记录，钻孔终孔应有设计人派出的专业技术人员现场检查确认和签署。并应提供钻孔有关的音像资料，特别是开孔、终孔的记录，记录的音像资料中应能清楚辨认钻孔作业实施的地点、钻孔编号、现场主要技术人员等。</w:t>
      </w:r>
    </w:p>
    <w:p w14:paraId="14EE996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在外业勘察过程中检查钻孔及土工试验取样应有的检查记录，由设计人派出的内部质量管理专业技术人员执行见证取样，并检查试验方法、试件数量和试验记录是否符合有关规范要求。加强对料场、地材、路面材料配合比的试验检查，确保料场材料技术指标和储量满足建设施工阶段的需要。</w:t>
      </w:r>
    </w:p>
    <w:p w14:paraId="0469ACD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在外业勘察过程中地质滑坡体、软土地基等不良地质区段应严格按规程、规范采用工程地质测绘、物探、原位测试、取样试验等综合工程地质勘探手段进行工程地质勘察，加密勘探点位，在获取准确、完整的岩土物理力学参数的基础上进行稳定性分析验算，据此，进行针对性加固工程设计，同时应提供详细的工程设计图表和工程数量。加强外业水文、水力资料的搜集和调查工作，提供沿线设计洪水频率不同地点的路基水位和各桥涵的设计流量，并在纵横断面中示出。</w:t>
      </w:r>
    </w:p>
    <w:p w14:paraId="429AE79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在外业勘察过程中对大型工程项目(如特大桥、大桥)和地质滑坡体等不良地质等钻探的岩芯须妥善保存至工程竣工验收后移交发包人。其勘察资料(包括原始记录)应及时、全面、准确、可靠，对发包人或其委托单位提出因地质构造复杂或规范要求，需补充钻探点位或进行深孔钻探的点位，设计人应及时进行补勘补钻工作，若设计人未及时安排，发包人有权指定第三方进行钻探，费用由设计人承担。</w:t>
      </w:r>
    </w:p>
    <w:p w14:paraId="76BE11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在外业勘察过程中应对互通立交进行加密测量、桩志和勘探点数量，并应根据实测平、纵、横断面结合大比例尺地形图纸上移线、反复调坡，并再次现场核实，实地放线，实测纵、横控制性断面，进行安全可靠、经济合理的设计。以控制上报的初步设计方案及投资，减少工程变更。</w:t>
      </w:r>
    </w:p>
    <w:p w14:paraId="23E2344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4.1.6.13 设计人在勘察、设计阶段应接受发包人或发包人委托的设计咨询单位、勘察核查单位对其勘察、设计工作进行全面审查，但不能因此而免除设计人根据合同规定应负的任何责任和义务。</w:t>
      </w:r>
    </w:p>
    <w:p w14:paraId="4672FFE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发包人或其委托单位将派出技术人员或专业的设计咨询单位、勘察核查单位进行定期或不定期开展勘察外业、内业、影像资料记录及作业安全的检查和监督，设计人应对检查工作认真对待，杜绝弄虚作假。设计人应根据勘察进度及时提供设计成果(含电子图)供发包人检查、使用，发包人将组织技术人员或委托有资质的单位对设计人提供的设计成果进行检查。若发包人检查结果与设计人提交的成果偏差较大或成果精度不能满足相关技术规范要求的，设计人应无条件重新勘察。</w:t>
      </w:r>
    </w:p>
    <w:p w14:paraId="641E1E6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钻探完成后，发包人或其委托的勘察核查单位将对孔位、数量、钻探的深度、孔径、岩芯取样等进行检查验收，但并不免除设计人根据合同规定应负的责任。其抽查孔数为钻探总孔数的2％～5％。检查结果与设计人提交的成果相吻合，由此产生的费用，在暂列金额中计列；若检查结果与设计人提交的成果偏差较大的，设计人应进行补勘补钻工作，由此产生的费用由设计人承担(含发包人委托的相关费用)，只有在钻探满足有关规定后，发包人才予全部支付设计人的地质勘察费用。若需返工或重新钻探的，重新布孔方案仍需报备。</w:t>
      </w:r>
    </w:p>
    <w:p w14:paraId="0A394C7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(3)设计人开展工作应同时与设计咨询单位实行有效衔接，配合做好动态流程化设计咨询，并阶段性提供设计成果；对各专业工程相互交叉作业、工作面的搭接做好有效的处理方案。</w:t>
      </w:r>
    </w:p>
    <w:p w14:paraId="43B3DA5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4.1.6.14 在外业勘测过程中设计人应加强公路用地范围内附着物的勘测工作，认真做好征迁调查、调绘工作，应在每一阶段提供的平面图上给出最新的地物、地貌现状，做到准确无误。《公路用地图及拆迁资料》上均应明确标示地物点、范围和实际形状。如：道路、房屋(含结构、层数和屋内外装饰)、高压线、高压线电塔、光电缆、坟墓等，并提交影像资料备查，避免重大漏项；设计人使用提供的地形图应采用最新的测绘出版局出版的图，提供的用地图应满足国土资源部门的有关报送要求。设计人应对取、弃土场提出具体意见并提供用地图，取、弃土用地也应严格执行国家耕地保护的有关土地政策，避免乱占、乱用土地。</w:t>
      </w:r>
    </w:p>
    <w:p w14:paraId="78FF896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4.1.6.15 设计人应根据发包人需要(如有）提供征地红线放样，要求采用永久性装置。</w:t>
      </w:r>
    </w:p>
    <w:p w14:paraId="2ADA0CD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4.1.6.16 设计人委任的项目负责人应加强对各专业的设计管理，应采用有效措施做好各专业间的协调，使各专业设计相互顺接，不出现互相遗漏、矛盾。</w:t>
      </w:r>
    </w:p>
    <w:p w14:paraId="0683E43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4.1.6.17设计人应</w:t>
      </w:r>
      <w:r>
        <w:rPr>
          <w:rFonts w:hint="eastAsia" w:ascii="宋体" w:hAnsi="宋体" w:cs="宋体"/>
          <w:bCs/>
          <w:color w:val="auto"/>
          <w:szCs w:val="21"/>
          <w:highlight w:val="none"/>
        </w:rPr>
        <w:t>严格执行《绍兴市人民政府办公室关于印发绍兴市工程渣土（泥浆）处置管理办法的通知》（绍政办发（2020）11号）、《关于进一步加强工程渣土（泥浆）处置管理工作的实施意见》（绍市渣土〔2021〕1号）、绍兴市工程渣土（泥浆）处置管理工作领导小组办公室关于印发《绍兴市工程渣土（泥浆）处置管理实施细则》的通知（绍市渣土办〔2023〕1号）、《绍兴市人民政府关于印发绍兴市扬尘污染防治管理办法的通知》（绍政发〔2019〕19号）、关于印发《绍兴市2021年环境空气质量巩固提升行动方案》的通知（绍蓝天〔2021〕1号）、《绍兴市交通运输局关于全面推行交通工程扬尘污染数字化监管的通知》（绍市交发〔2022〕50号）、绍兴市打赢蓝天保卫战领导小组综合协调办公室《关于进一步做好扬尘精细化管控的通知》等的相关规定进行设计工作。</w:t>
      </w:r>
    </w:p>
    <w:p w14:paraId="1D8F2A6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4.1.6.18施工过程中发生变更，应采用设计技术联系单的形式，联系单内容应包括变更原因、变更估价及变更费用增减、变更内容。</w:t>
      </w:r>
    </w:p>
    <w:p w14:paraId="0DE4854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4.1.6.19 设计人开展工作应同时与设计咨询单位实行有效衔接，并对各专业工程相互交叉作业、工作面的搭接做好有效的处理方案，并做好智慧高速设计的相关工作。联合体牵头人负责做好本次设计的总体协调工作，确保优质高效完成发包范围内的所有相关工作。</w:t>
      </w:r>
    </w:p>
    <w:p w14:paraId="1FB55C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4.2 履约保证金</w:t>
      </w:r>
    </w:p>
    <w:p w14:paraId="4E2A986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第4.2.1项细化为：</w:t>
      </w:r>
    </w:p>
    <w:p w14:paraId="4711AC4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设计人在签订合同协议书之前，应向发包人提供金额为2%签约合同价的履约保证金。</w:t>
      </w:r>
    </w:p>
    <w:p w14:paraId="45B28F3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履约保证金的形式：现金（电汇或银行汇票形式）或银行保函或保险公司保证保险保单或融资担保公司保函。</w:t>
      </w:r>
    </w:p>
    <w:p w14:paraId="2471395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若采用银行保函，出具履约担保的银行级别：国有或股份制商业银行县（区、市）级及以上银行。</w:t>
      </w:r>
    </w:p>
    <w:p w14:paraId="19EBE28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若采用保险公司保证保险保单，应具有相应的偿付能力，并事前征得发包人同意。</w:t>
      </w:r>
    </w:p>
    <w:p w14:paraId="0B788B9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若采用融资担保公司保函，应具有相应的偿付能力，并事前征得发包人同意。</w:t>
      </w:r>
    </w:p>
    <w:p w14:paraId="4C9BFE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执行本款规定所需的费用由设计人承担。</w:t>
      </w:r>
    </w:p>
    <w:p w14:paraId="227FA61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  分包和不得转包</w:t>
      </w:r>
    </w:p>
    <w:p w14:paraId="2BFE17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修改4.3.4款如下：</w:t>
      </w:r>
    </w:p>
    <w:p w14:paraId="1CB5616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4.3.4  分包人不得将分包项目再次分包或转包。</w:t>
      </w:r>
    </w:p>
    <w:p w14:paraId="53BF8B49">
      <w:pPr>
        <w:pStyle w:val="68"/>
        <w:spacing w:line="360" w:lineRule="auto"/>
        <w:ind w:left="0" w:firstLine="0"/>
        <w:outlineLvl w:val="1"/>
        <w:rPr>
          <w:rFonts w:ascii="黑体" w:hAnsi="黑体"/>
          <w:color w:val="auto"/>
          <w:szCs w:val="24"/>
          <w:highlight w:val="none"/>
        </w:rPr>
      </w:pPr>
      <w:bookmarkStart w:id="791" w:name="_Toc12383"/>
      <w:bookmarkStart w:id="792" w:name="_Toc9958"/>
      <w:bookmarkStart w:id="793" w:name="_Toc11614"/>
      <w:bookmarkStart w:id="794" w:name="_Toc24863"/>
      <w:bookmarkStart w:id="795" w:name="_Toc10192"/>
      <w:bookmarkStart w:id="796" w:name="_Toc24651"/>
      <w:r>
        <w:rPr>
          <w:rFonts w:hint="eastAsia" w:ascii="黑体" w:hAnsi="黑体"/>
          <w:color w:val="auto"/>
          <w:szCs w:val="24"/>
          <w:highlight w:val="none"/>
        </w:rPr>
        <w:t>5.设计要求</w:t>
      </w:r>
      <w:bookmarkEnd w:id="791"/>
      <w:bookmarkEnd w:id="792"/>
      <w:bookmarkEnd w:id="793"/>
      <w:bookmarkEnd w:id="794"/>
      <w:bookmarkEnd w:id="795"/>
      <w:bookmarkEnd w:id="796"/>
    </w:p>
    <w:p w14:paraId="3F017A1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  一般要求</w:t>
      </w:r>
    </w:p>
    <w:p w14:paraId="3C257A7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补充5.1.6～5.1.41项：</w:t>
      </w:r>
    </w:p>
    <w:p w14:paraId="2B766E1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5.1.6 设计人要强化特殊路基处理精细化设计，对深厚软基、新旧路基拼宽、桥涵台背、不同处理方式过渡段、高填方等重难点路段路基进行专篇设计，深化设计计算分析，提高路基沉降设计要求；推动新型软土处治工艺工法、桥涵台背轻质填料的应用；明确路基处理施工质量控制及检测监测要求，加强跟踪服务和动态设计；重视挖方路段、超高路段、中央分隔带等部位的排水设计。</w:t>
      </w:r>
    </w:p>
    <w:p w14:paraId="63634F3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5.1.7 设计人要加强交通数据调查分析，应用现场交通量观测、称重设备采集等手段，获取交通荷载参数，为路面结构设计和建立我省区域性设计参数提供支撑；设计时要优先选择耐久性好、全生命周期成本低、便于养护的路面结构，提高普通国道路面结构整体设计使用年限，积极推动长寿命路面设计理论和方法、区域性设计参数研究应用。</w:t>
      </w:r>
    </w:p>
    <w:p w14:paraId="2B445AF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5.1.8 设计人要严格执行高边坡一坡一设计，加强过程动态设计，优化调整边坡施工防护方式；结合绿色边坡理念，加强上边坡防护设计，提升生态护坡技术。</w:t>
      </w:r>
    </w:p>
    <w:p w14:paraId="405B341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5.1.9 设计人要强化跨江桥梁、山区高墩桥梁等长大桥梁全生命周期设计方案比选，综合考虑结构耐久性、施工可靠性及运营管养需求，注重结构细节设计和管养设施设计；不断完善长大桥梁冗余设计和韧性设计评估方法，提高结构物抵御自然灾害与突发事件的能力；加强桥梁结构耐久性设计，针对不同构件，明确原材料指标、施工质量控制要点、运维关键技术等要求，提高钢筋保护层厚度、碳化深度、抗氯离子渗透等耐久性指标要求；推进超高性能混凝土、高性能钢材等在桥梁主要受力构件和受力复杂部位中的应用，充分发挥高性能材料在全生命周期上的优势。</w:t>
      </w:r>
    </w:p>
    <w:p w14:paraId="26F1B9F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5.1.10 设计人要结合周边工业化生产企业的产品和技术，对梁板、盖梁、墩柱等桥梁构件开展少规格、多组合的标准化、通用化设计；要加强桥面铺装结构精细化设计，明确施工工艺、养护技术及伸缩缝施工等要求，现浇桥梁和采用预制板的钢混叠合梁等桥面结构设计时，宜增设混凝土调平层，并加强与桥梁主体结构的整体性设计。</w:t>
      </w:r>
    </w:p>
    <w:p w14:paraId="292D8385">
      <w:pPr>
        <w:pStyle w:val="14"/>
        <w:ind w:left="0" w:firstLine="422" w:firstLineChars="200"/>
        <w:jc w:val="left"/>
        <w:rPr>
          <w:rFonts w:ascii="宋体" w:hAnsi="宋体" w:cs="宋体"/>
          <w:color w:val="auto"/>
          <w:kern w:val="0"/>
          <w:szCs w:val="21"/>
          <w:highlight w:val="none"/>
        </w:rPr>
      </w:pPr>
      <w:r>
        <w:rPr>
          <w:rFonts w:ascii="宋体" w:hAnsi="宋体" w:cs="宋体"/>
          <w:b/>
          <w:bCs/>
          <w:color w:val="auto"/>
          <w:spacing w:val="5"/>
          <w:sz w:val="20"/>
          <w:szCs w:val="20"/>
          <w:highlight w:val="none"/>
        </w:rPr>
        <w:t>5.1.11</w:t>
      </w:r>
      <w:r>
        <w:rPr>
          <w:rFonts w:ascii="宋体" w:hAnsi="宋体" w:cs="宋体"/>
          <w:color w:val="auto"/>
          <w:spacing w:val="5"/>
          <w:sz w:val="20"/>
          <w:szCs w:val="20"/>
          <w:highlight w:val="none"/>
        </w:rPr>
        <w:t xml:space="preserve"> </w:t>
      </w:r>
      <w:r>
        <w:rPr>
          <w:rFonts w:hint="eastAsia" w:ascii="宋体" w:hAnsi="宋体" w:cs="宋体"/>
          <w:color w:val="auto"/>
          <w:kern w:val="0"/>
          <w:szCs w:val="21"/>
          <w:highlight w:val="none"/>
        </w:rPr>
        <w:t>设计人要加强设计阶段安全风险评估，配合做好桥梁、高边坡、高挡墙、高路堤、深基坑等工程的安全专项设计、计算复核和过程动态设计；将钢箱梁或钢混组合梁等钢制轻型结构和转体、顶推施工纳入设计方案比选，降低桥梁跨线施工安全风险；在风险较大的高边坡设计时优先采用隧道、棚洞方案；加强穿越城镇、公路交叉节点、急弯陡坡、临水临崖、长下坡等高风险路段的交安设施精细化设计。</w:t>
      </w:r>
    </w:p>
    <w:p w14:paraId="14ED242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5.1.12 设计人要严格执行生态环境保护制度要求，加强生态环境保护专项设计，落实生态选线、避绕环境敏感点、少占耕地农田等措施；提高工程主体结构美学和景观设计水平，增强与地域文化、自然环境协调融合；积极践行绿色发展理念，强化固化土路基、工业化生产等资源化集约化施工工艺、生产方式的应用；加强工程建设“永临结合”，推动“两区三场”建设临时用地充分利用红线内土地，施工便道充分考虑与现有道路改移工程相结合，施工临时用水用电与永久用水用电相结合。</w:t>
      </w:r>
    </w:p>
    <w:p w14:paraId="5538812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5.1.13 设计人在设计过程中所发生的临时便道、便桥、临时电力、临时用水、砍伐树木、果树、农作物损失等均由设计人自行解决，费用含在相关报价中，发包人不另行单独支付，在设计过程中所造成的一切损坏需予以补偿的，均由设计人承担。</w:t>
      </w:r>
    </w:p>
    <w:p w14:paraId="314512C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5.1.14贯彻“以人为本，安全至上”理念，提升项目工程的安全水平</w:t>
      </w:r>
    </w:p>
    <w:p w14:paraId="404AE4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始终应将“以人为本，安全至上”的理念贯穿于设计的全过程。应认真落实“地形地质选线”和“安全选线”原则，掌握地质状况，对不良地质灾害体要尽量予以绕避，做好路线方案比选工作；因地制宜，合理采用技术指标，优化平纵面设计，尽量避免出现长大纵坡。同时，对交通工程及沿线设施应加强其针对性设计。对特殊复杂桥梁工程，应认真组织开展公路桥梁工程安全风险评估工作，确保结构安全可靠、技术经济合理。应高度重视沿线气象、水文、地质等建设条件的调查工作，加强防护工程设计，进一步提高防灾抗灾能力，尽最大努力减少项目工程的水损坏，确保项目工程的畅通和安全。</w:t>
      </w:r>
    </w:p>
    <w:p w14:paraId="72460F0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5.1.15贯彻“生态环保、资源节约”理念，促进项目工程可持续发展。</w:t>
      </w:r>
    </w:p>
    <w:p w14:paraId="0E5F8B8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设计中特别是在选取路线方案时要认真贯彻“生态环保选线”的原则，在满足规范标准的前提下，使路线方案尽量与地形相拟合，路基尽可能避免高填深挖，以减少对自然生态环境的破坏。路线尽量避免经过水源地保护区、风景名胜区、自然保护区、水土保持敏感区等区域，有影响时应做好环境影响、水土保持评价工作，采取相应保护措施。</w:t>
      </w:r>
    </w:p>
    <w:p w14:paraId="49A7ED3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设计中应当统筹利用线位资源，将减少土地占用、减少矿产资源压覆作为路线方案选择和优化的重要指标，合理确定建设规模和方案，提高土地的集约利用程度，减少对土地的分割，尽可能不占或少占耕地，合理设置取弃土场，尽量复耕还田。</w:t>
      </w:r>
    </w:p>
    <w:p w14:paraId="702845C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按照发展循环和低碳经济的要求，在沿线房屋设施、智慧高速等供配电设计中，合理利用风能、太阳能、地热等清洁能源和节能设备，以节约利用资源。</w:t>
      </w:r>
    </w:p>
    <w:p w14:paraId="60EC93B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设计人在设计阶段必须充分调查、充分考虑建筑材料来源，以节约、合理利用资源。</w:t>
      </w:r>
    </w:p>
    <w:p w14:paraId="2F1EC9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5.1.16贯彻“全寿命周期成本”理念，合理控制建设成本。</w:t>
      </w:r>
    </w:p>
    <w:p w14:paraId="461781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树立全寿命周期成本的理念，应从项目生命周期全过程去看待成本，既要注重项目初期的建设成本，也要注重后期的维修和养护成本。</w:t>
      </w:r>
    </w:p>
    <w:p w14:paraId="4BB211C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应把提高建设质量和工程耐久性放在首位，确定符合实际需要和经济能力的工程建设方案，应避免贪大求洋，不允许未经批准擅自提高标准、扩大建设规模。</w:t>
      </w:r>
    </w:p>
    <w:p w14:paraId="5B83F42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应将严格控制工程投资作为约束性目标，始终贯穿到项目设计各个环节，在精心设计、优化设计上下功夫。</w:t>
      </w:r>
    </w:p>
    <w:p w14:paraId="15C35CF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应吸收已建成项目养护和运营管理中的好经验好做法，尽可能减少后期维护费用，延长使用寿命。</w:t>
      </w:r>
    </w:p>
    <w:p w14:paraId="7E06FBB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5.1.17进一步加强地质勘察与外业调查工作，确保基础资料全面、实用、可信。</w:t>
      </w:r>
    </w:p>
    <w:p w14:paraId="488BDE8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外业勘测勘察资料尤其是地质勘察资料是设计的基础和依据，直接影响工程方案的确定。</w:t>
      </w:r>
    </w:p>
    <w:p w14:paraId="0F4C3A0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加强地质勘察和外业调查工作，确保基础资料全面、实用、可信。设计人应根据相关技术标准规范的要求，针对项目区域地形地质特点及工程建设需要，提出外业勘察特别是地质勘察的工作量、勘察重点及勘察费用，编制外业勘测与地质勘察指导书，报发包人批准，并报交通运输主管部门备案，以便发包人、交通运输主管部门监督检查，确保外业勘察工作保质、保量、规范进行。</w:t>
      </w:r>
    </w:p>
    <w:p w14:paraId="7820EAC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外业指导书未按合同规定时间通过审查批准（备案），设计人应及时完善，并视作设计人违约。</w:t>
      </w:r>
    </w:p>
    <w:p w14:paraId="1D616BD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凡是由于设计人未完成地质勘察外业指导书所确定的工作量或因设计人原因出现的外业资料不准确而引发重大、较大设计变更的，发包人将追究设计人的责任。外业勘测与地质勘察报告未通过发包人和交通运输主管部门审查的，设计人必须及时补勘外业工作，直至通过发包人和交通运输主管部门的审查，同时视作设计人违约。</w:t>
      </w:r>
    </w:p>
    <w:p w14:paraId="756C819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外业勘测与地质勘察验收工作是开展设计工作的基本要求和条件。设计人应确保外业勘测、地质勘察的深度，确保横断面及特征断面准确，发包人将组织有关单位和专家认真做好外业勘测与地质勘察验收，特别是地质勘察专项验收工作。凡是勘察工作量没有完成、深度不足的，发包人不得组织验收，验收不合格的不得开展内业设计工作。</w:t>
      </w:r>
    </w:p>
    <w:p w14:paraId="21C79CE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做到路基及防护工程量准确，形式合理；设计人应加强大三改的调查，确保大三改的合理性，并提交相关协议或确认依据，出具正式的设计图，不得示意性设计，不得遗留用地图。设计人应加强地方被交道路限高标志设置的调查和设计，减少施工过程中的变更。</w:t>
      </w:r>
    </w:p>
    <w:p w14:paraId="21B2189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5.1.18强化过程管理，提高设计质量</w:t>
      </w:r>
    </w:p>
    <w:p w14:paraId="2B5020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设计人应建立健全内部质量保证体系，严格按照设计质量管理流程开展设计，依据通过验收的外业勘测资料和地质勘察资料进行内业设计。</w:t>
      </w:r>
    </w:p>
    <w:p w14:paraId="2DFEFB1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设计人应认真执行合同明确的设计周期，不得随意变更周期，以保证设计质量。</w:t>
      </w:r>
    </w:p>
    <w:p w14:paraId="7415A3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设计人应充分利用外业勘测勘察成果，杜绝外业勘测与勘察与内业设计脱节。</w:t>
      </w:r>
    </w:p>
    <w:p w14:paraId="3C05451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施工图设计阶段应重视初步设计批复意见和审查咨询的意见，并逐条加以落实。</w:t>
      </w:r>
    </w:p>
    <w:p w14:paraId="07FAE7A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设计人应加强设计过程的管理和控制。大力推行设计标准化。对非复杂或特殊要求桥梁上下部结构、路基路面、交通工程设施等尽量采用通用图或标准图，促进设计施工标准化，以提高设计施工质量和效率。</w:t>
      </w:r>
    </w:p>
    <w:p w14:paraId="3E5F681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5.1.19健全设计变更管理制度，规范设计变更管理</w:t>
      </w:r>
    </w:p>
    <w:p w14:paraId="5F022DD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对重大、较大设计变更发包人要组织专家进行研究论证，报经主管部门审查批准后方可实施。</w:t>
      </w:r>
    </w:p>
    <w:p w14:paraId="5E9615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5.1.20发包人或相关部门要求组织各阶段的勘察外业验收、图纸审查、专题技术论证会，会务费用均由设计人承担。</w:t>
      </w:r>
    </w:p>
    <w:p w14:paraId="448359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5.1.21设计人应编制初步设计阶段工程测量、工程地质、水文地质、地震地质、河流水文、气象气候等有关勘察任务书，确定勘察手段、方法、数量，提出科研、试验、环境研究计划安排；</w:t>
      </w:r>
    </w:p>
    <w:p w14:paraId="67F8B05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5.1.22设计人应在钻探工作开始10天前将钻探的布孔、孔位、数量，钻孔的深度、孔径等方案报发包人备案。布孔应尽量布置在实际桩位上，发包人对设计人的钻探布孔方案无异议后，设计人按报备方案开展钻探工作，但并不免除设计人勘察质量的责任。钻探后孔位、钻孔深度、孔径必须达到规定的要求。同时还应提高岩芯采取率，尤其是对破碎岩层的软弱夹层、软岩、软土等地层，更要保证取样质量和岩芯采取率。设计人的地质钻探应符合交通运输部公路工程地质勘察的相关规定。</w:t>
      </w:r>
    </w:p>
    <w:p w14:paraId="0099099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5.1.23设计人应严格按《公路工程地质勘察规范》进行工程地质和水文地质的内、外业工作。</w:t>
      </w:r>
    </w:p>
    <w:p w14:paraId="1979AF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(1)外业勘测前，设计人应按批准的外业勘测与地质勘察指导书，对参加本标段地勘工作的技术人员、现场作业人员进行上岗前的统一培训，统一外业资料格式，实行标准化作业。</w:t>
      </w:r>
    </w:p>
    <w:p w14:paraId="1610CF1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在外业勘察过程中加强现场检查。各项地勘工作都应有设计人派出的专业技术人员在现场实行质量管理和全过程监督，逐个钻孔应有日检记录，钻孔终孔应有设计人派出的专业技术人员现场检查确认和签署。并应提供钻孔有关的音像资料，特别是开孔、终孔的记录，记录的音像资料中应能清楚辨认钻孔作业实施的地点、钻孔编号、现场主要技术人员等。</w:t>
      </w:r>
    </w:p>
    <w:p w14:paraId="44E22BE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(3)在外业勘察过程中检查钻孔及土工试验取样应有的检查记录，由设计人派出的内部质量管理专业技术人员执行见证取样，并检查试验方法、试件数量和试验记录是否符合有关规范要求。加强对料场、地材、路面材料配合比的试验检查，确保料场材料技术指标和储量满足建设施工阶段的需要。</w:t>
      </w:r>
    </w:p>
    <w:p w14:paraId="250329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在外业勘察过程中地质滑坡体、软土地基等不良地质区段应严格按规程、规范采用工程地质测绘、物探、原位测试、取样试验等综合工程地质勘探手段进行工程地质勘察，加密勘探点位，在获取准确、完整的岩土物理力学参数的基础上进行稳定性分析验算，据此，进行针对性加固工程设计，同时应提供详细的工程设计图表和工程数量。加强外业水文、水力资料的搜集和调查工作，提供沿线设计洪水频率不同地点的路基水位和各桥涵的设计流量，并在纵横断面中示出。</w:t>
      </w:r>
    </w:p>
    <w:p w14:paraId="7AA0F8A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在外业勘察过程中对大型工程项目(如大桥等)和地质滑坡体等不良地质等钻探的岩芯须妥善保存至工程竣工验收后移交发包人。其勘察资料(包括原始记录)应及时、全面、准确、可靠，对发包人或其委托单位提出因地质构造复杂或规范要求，需补充钻探点位或进行深孔钻探的点位，设计人应及时进行补勘补钻工作，若设计人未及时安排，发包人有权指定第三方进行钻探，费用由设计人承担。</w:t>
      </w:r>
    </w:p>
    <w:p w14:paraId="102D0A6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在外业勘察过程中应对互通立交进行加密测量、桩志和勘探点数量，并应根据实测平、纵、横断面结合大比例尺地形图纸上移线、反复调坡，并再次现场核实，实地放线，实测纵、横控制性断面，进行安全可靠、经济合理的设计。以控制上报的初步设计方案及投资，减少工程变更。</w:t>
      </w:r>
    </w:p>
    <w:p w14:paraId="66F40F9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5.1.24设计人在勘察、设计阶段应接受发包人或发包人委托的单位对其勘察、设计工作进行全面审查，但不能因此而免除设计人根据合同规定应负的任何责任和义务。</w:t>
      </w:r>
    </w:p>
    <w:p w14:paraId="3A7E40E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发包人或其委托单位将派出技术人员进行定期或不定期开展勘察外业、内业、音像资料记录及作业安全的检查和监督，设计人应对检查工作认真对待，杜绝弄虚作假。设计人应根据勘察进度及时提供设计成果(含电子图)供发包人检查、使用，发包人将组织技术人员或委托有资质的单位对设计人提供的设计成果进行检查。若发包人检查结果与设计人提交的成果偏差较大或成果精度不能满足相关技术规范要求的，设计人应无条件重新勘察。</w:t>
      </w:r>
    </w:p>
    <w:p w14:paraId="57AE364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(2)设计人钻探完成后，发包人或其委托的单位将对孔位、数量、钻探的深度、孔径、岩芯取样等进行检查验收，但并不免除设计人根据合同规定应负的责任。其抽查孔数为钻探总孔数的2％～5％。检查结果与设计人提交的成果相吻合，由此产生的费用由发包人承担；若检查结果与设计人提交的成果偏差较大的，设计人应进行补勘补钻工作，由此产生的费用由设计人承担(含发包人委托的相关费用)，只有在钻探满足有关规定后，发包人才予全部支付设计人的地质勘察费用。若需返工或重新钻探的，重新布孔方案仍需报备。</w:t>
      </w:r>
    </w:p>
    <w:p w14:paraId="344EA35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5.1.25在外业勘测过程中设计人应加强公路用地范围内附着物的勘测工作，认真做好征迁调查、调绘工作，应在每一阶段提供的平面图上给出最新的地物、地貌现状，做到准确无误。《公路用地图及拆迁资料》上均应明确标示地物点、范围和实际形状。如：道路、房屋(含结构、层数和屋内外装饰)、高压线、高压线电塔、光电缆、坟墓等，并提交影像资料备查，避免重大漏项；设计人使用提供的地形图应采用最新的测绘出版局出版的图，提供的用地图应满足国土资源部门的有关报送要求。设计人应对取、弃土场提出具体意见并提供用地图，取、弃土用地也应严格执行国家耕地保护的有关土地政策，避免乱占、乱用土地。设计人应区分强弱电、通讯光电缆、自来水管、结构物等的产权单位（特别需注明老业主内部管线），并提出具体改造路由方案。</w:t>
      </w:r>
    </w:p>
    <w:p w14:paraId="4739BE3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5.1.26地形、地质条件复杂的桥梁以及特殊路基和不良地质（如地质滑坡体、软土等）等隐蔽性工程处治应进行动态设计，设计人应派遣专业工程师及相应设备软件跟踪施工，将设计贯穿施工全过程，保证安全且经济合理。</w:t>
      </w:r>
    </w:p>
    <w:p w14:paraId="71B90E1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5.1.27设计人应积极配合发包人进行本项目工程各项施工发包工作，按发包人规定的时间、内容要求及份数提供各施工标段施工发包所需的主要工程数量、工程说明；按发包人规定的时间及份数提供各施工标段施工发包所需的发包图纸、工程量清单、清单说明及相应的施工项目专用技术规范；按发包人要求派相关人员参加竞包预备会、发包文件讨论会、工程量清单预算讨论会等，对有关设计问题进行说明。</w:t>
      </w:r>
    </w:p>
    <w:p w14:paraId="409A4DB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5.1.28设计人提供的施工发包工程量清单应与技术规范相对应，设计图纸和工程量清单中的数量应准确、一致。设计人原则上应由各专业的具体设计人员按分标段结构物清单及路基分段详细提交工程量统计表供发包人复查，应采取有效措施保证工程量清单的准确性，并保证不发生大的漏项、偏差。</w:t>
      </w:r>
    </w:p>
    <w:p w14:paraId="1774A6E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5.1.29设计人应编制本项目的设计安全性评估报告，并应通过发包人或相关部门的审查，设计人为承担本项工作所发生的费用均包含在竞包价中，由设计人承担。</w:t>
      </w:r>
    </w:p>
    <w:p w14:paraId="1F110FA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5.1.30设计人应按发包人要求提供本项目的设计效果图，设计人为承担本项工作所发生的费用均包含在竞包价中，由设计人承担。</w:t>
      </w:r>
    </w:p>
    <w:p w14:paraId="0276ACA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5.1.31设计人委任的项目负责人应加强对各专业的设计管理，应采用有效措施做好各专业间的协调，使各专业设计相互顺接，不出现互相遗漏、矛盾；减少配套设施对主体工程的干扰。</w:t>
      </w:r>
    </w:p>
    <w:p w14:paraId="766A21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施工图设计中应充分考虑和交通工程及沿线附属设施的接口界面和协调，根据交通工程及附属设施设计的需要做好相关预留预埋件的处理，设计方案需与交通工程及沿线附属设施施工图设计单位协调并相互认可一致。</w:t>
      </w:r>
    </w:p>
    <w:p w14:paraId="0FD57BD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5.1.32设计人须按发包人要求（如有）对全线征迁红线范围进行航拍，形成完整影像资料，航测成果归发包人所有。</w:t>
      </w:r>
    </w:p>
    <w:p w14:paraId="0ACDB13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5.1.33 设计人需对全线各类管杆线进行详细勘察，并提供相应的迁改方案，提供的迁改方案能满足后续设计及施工需要。</w:t>
      </w:r>
    </w:p>
    <w:p w14:paraId="0FE253D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5.1.34设计人的大临设施及场地设计，应充分考虑永临结合。</w:t>
      </w:r>
    </w:p>
    <w:p w14:paraId="257E5F0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5.1.35设计人在设计中采用专利产品或特殊工艺的，需事先征得发包人同意。</w:t>
      </w:r>
    </w:p>
    <w:p w14:paraId="2611E6A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5.1.36发包人如制定本项目《设计服务管理与考核办法》，设计人应服从办法有关规定，并按规定接受发包人考核。</w:t>
      </w:r>
    </w:p>
    <w:p w14:paraId="6ED3F2E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5.1.37为确保相关分包工作质量，设计人分包须报发包人审批，待发包人审批通过后方可开展实施相关工作，审批未通过的，设计人调整后报发包人直至审批通过。未经发包人审批直接委托的，视为设计人违约。</w:t>
      </w:r>
    </w:p>
    <w:p w14:paraId="12B6C50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  设计范围</w:t>
      </w:r>
    </w:p>
    <w:p w14:paraId="0858E34F">
      <w:pPr>
        <w:spacing w:line="410" w:lineRule="exact"/>
        <w:ind w:firstLine="420" w:firstLineChars="200"/>
        <w:rPr>
          <w:snapToGrid w:val="0"/>
          <w:color w:val="auto"/>
          <w:highlight w:val="none"/>
        </w:rPr>
      </w:pPr>
      <w:r>
        <w:rPr>
          <w:rFonts w:hint="eastAsia" w:ascii="宋体" w:hAnsi="宋体" w:cs="宋体"/>
          <w:color w:val="auto"/>
          <w:kern w:val="0"/>
          <w:szCs w:val="21"/>
          <w:highlight w:val="none"/>
        </w:rPr>
        <w:t>5.3.2  工程范围包括：</w:t>
      </w:r>
      <w:r>
        <w:rPr>
          <w:rFonts w:hint="eastAsia"/>
          <w:snapToGrid w:val="0"/>
          <w:color w:val="auto"/>
          <w:highlight w:val="none"/>
        </w:rPr>
        <w:t>甬金高速出入口建设工程的路基、路面（含排水）、交通安全设施等的工程勘察、初步设计、技术设计（如需要）、施工图设计、概预算文件编制、施工发包用图纸和工程量清单、施工项目专用技术规范编制及后续服务。</w:t>
      </w:r>
    </w:p>
    <w:p w14:paraId="2AB2964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5.3.3  阶段范围包括：初步设计、技术设计（如有）、施工图设计、</w:t>
      </w:r>
      <w:r>
        <w:rPr>
          <w:rFonts w:hint="eastAsia"/>
          <w:snapToGrid w:val="0"/>
          <w:color w:val="auto"/>
          <w:highlight w:val="none"/>
        </w:rPr>
        <w:t>概预算文件编制、</w:t>
      </w:r>
      <w:r>
        <w:rPr>
          <w:rFonts w:hint="eastAsia" w:ascii="宋体" w:hAnsi="宋体" w:cs="宋体"/>
          <w:color w:val="auto"/>
          <w:kern w:val="0"/>
          <w:szCs w:val="21"/>
          <w:highlight w:val="none"/>
        </w:rPr>
        <w:t>发包配合阶段及后续服务。</w:t>
      </w:r>
    </w:p>
    <w:p w14:paraId="6057C1C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5.3.4  工作范围包括：工程测量、岩土工程勘察、岩土工程设计（如有），编制设计文件，编制设计概算、预算，提供技术交底、发包与施工配合，参加交工验收、参加竣工验收。 </w:t>
      </w:r>
    </w:p>
    <w:p w14:paraId="4E55483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  安全作业要求</w:t>
      </w:r>
    </w:p>
    <w:p w14:paraId="32B04E9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5.7.1  设计人编制安全措施计划的期限：符合发包人要求 。</w:t>
      </w:r>
    </w:p>
    <w:p w14:paraId="532C2FC6">
      <w:pPr>
        <w:pStyle w:val="68"/>
        <w:spacing w:line="360" w:lineRule="auto"/>
        <w:ind w:left="0" w:firstLine="0"/>
        <w:outlineLvl w:val="1"/>
        <w:rPr>
          <w:rFonts w:ascii="黑体" w:hAnsi="黑体"/>
          <w:color w:val="auto"/>
          <w:szCs w:val="24"/>
          <w:highlight w:val="none"/>
        </w:rPr>
      </w:pPr>
      <w:bookmarkStart w:id="797" w:name="_Toc26405"/>
      <w:bookmarkStart w:id="798" w:name="_Toc23625"/>
      <w:bookmarkStart w:id="799" w:name="_Toc13204"/>
      <w:bookmarkStart w:id="800" w:name="_Toc2253"/>
      <w:bookmarkStart w:id="801" w:name="_Toc9771"/>
      <w:bookmarkStart w:id="802" w:name="_Toc27900"/>
      <w:r>
        <w:rPr>
          <w:rFonts w:hint="eastAsia" w:ascii="黑体" w:hAnsi="黑体"/>
          <w:color w:val="auto"/>
          <w:szCs w:val="24"/>
          <w:highlight w:val="none"/>
        </w:rPr>
        <w:t>6.开始设计</w:t>
      </w:r>
      <w:r>
        <w:rPr>
          <w:rFonts w:ascii="黑体" w:hAnsi="黑体"/>
          <w:color w:val="auto"/>
          <w:szCs w:val="24"/>
          <w:highlight w:val="none"/>
        </w:rPr>
        <w:t>和完成</w:t>
      </w:r>
      <w:bookmarkEnd w:id="797"/>
      <w:bookmarkEnd w:id="798"/>
      <w:bookmarkEnd w:id="799"/>
      <w:bookmarkEnd w:id="800"/>
      <w:bookmarkEnd w:id="801"/>
      <w:bookmarkEnd w:id="802"/>
      <w:r>
        <w:rPr>
          <w:rFonts w:hint="eastAsia" w:ascii="黑体" w:hAnsi="黑体"/>
          <w:color w:val="auto"/>
          <w:szCs w:val="24"/>
          <w:highlight w:val="none"/>
        </w:rPr>
        <w:t>设计</w:t>
      </w:r>
    </w:p>
    <w:p w14:paraId="6B62384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  开始设计</w:t>
      </w:r>
    </w:p>
    <w:p w14:paraId="34D8FB1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6.1.1 满足以下条件时，设计人应开始设计工作：以发包人通知为准。</w:t>
      </w:r>
    </w:p>
    <w:p w14:paraId="0B92908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设计服务周期安排：</w:t>
      </w:r>
    </w:p>
    <w:p w14:paraId="6E7A31B6">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（1）合同签订后15日内，编制总体设计大纲，并报发包人批准；</w:t>
      </w:r>
    </w:p>
    <w:p w14:paraId="7B133EDF">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（2）合同签订后30天内，提交初步设计文件送审稿；</w:t>
      </w:r>
    </w:p>
    <w:p w14:paraId="372228E7">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（3）初步设计文件审查后1个月内，提交主体土建工程施工图设计文件送审稿；</w:t>
      </w:r>
    </w:p>
    <w:p w14:paraId="2DB84A4D">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（4）收到设计咨询单位、发包人和上级主管部门审查意见后，21天内对各设计文件进行修改完善，提交初步设计文件、施工图设计文件报批稿；</w:t>
      </w:r>
    </w:p>
    <w:p w14:paraId="06777C48">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（5）根据发包人项目施工招标工作进度的需要，提交开展施工招标工作所需的图纸和工程量清单、参考资料、施工项目专用技术规范等招标资料；</w:t>
      </w:r>
    </w:p>
    <w:p w14:paraId="17F28C0C">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（6）施工现场配合服务：从项目开工至项目竣工验收，施工期暂定6个月，缺陷责任期24个月。</w:t>
      </w:r>
    </w:p>
    <w:p w14:paraId="26E162DD">
      <w:pPr>
        <w:pStyle w:val="14"/>
        <w:ind w:left="420" w:leftChars="200" w:firstLine="0"/>
        <w:jc w:val="left"/>
        <w:rPr>
          <w:rFonts w:ascii="宋体" w:hAnsi="宋体" w:cs="宋体"/>
          <w:color w:val="auto"/>
          <w:kern w:val="0"/>
          <w:szCs w:val="21"/>
          <w:highlight w:val="none"/>
        </w:rPr>
      </w:pPr>
      <w:r>
        <w:rPr>
          <w:rFonts w:hint="eastAsia" w:ascii="宋体" w:hAnsi="宋体" w:cs="宋体"/>
          <w:color w:val="auto"/>
          <w:kern w:val="0"/>
          <w:szCs w:val="21"/>
          <w:highlight w:val="none"/>
        </w:rPr>
        <w:t>第6.1.2项细化为：</w:t>
      </w:r>
    </w:p>
    <w:p w14:paraId="58EDD86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6.1.2 因发包人原因造成合同签订之日起90天内未能发出开始设计通知的，设计人有权提出周期延长要求，或者解除合同。发包人应承担由此周期延误。</w:t>
      </w:r>
    </w:p>
    <w:p w14:paraId="5304E70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6.2  发包人引起的周期延误</w:t>
      </w:r>
    </w:p>
    <w:p w14:paraId="0A6471B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由于发包人原因造成设计服务期限延误的，延长设计服务期限的计算方法：按延误的时间相应增加服务期限；增加设计费用的计算方法：不另行计算增加相关费用。</w:t>
      </w:r>
    </w:p>
    <w:p w14:paraId="6686A37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6.3  设计人引起的周期延误</w:t>
      </w:r>
    </w:p>
    <w:p w14:paraId="0016702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逾期违约金的计算方法：每逾期一天课以1‰；逾期违约金的最高限额：签约合同价的5％。</w:t>
      </w:r>
    </w:p>
    <w:p w14:paraId="78B5AC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6.4  行政管理部门引起的周期延误</w:t>
      </w:r>
    </w:p>
    <w:p w14:paraId="1882EB6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由于行政管理部门审查延迟原因造成费用增加和（或）周期延误的，由发包人与设计人商定延误时间和费用补偿。</w:t>
      </w:r>
    </w:p>
    <w:p w14:paraId="0D33D31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  非人为因素引起的周期延误</w:t>
      </w:r>
    </w:p>
    <w:p w14:paraId="02EE452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6.5.1 异常恶劣气候条件包括：对本项目而言，是指发生龙卷风、超过桥梁设计洪水位以及不利降水等引起延误的情况；不利物质条件包括：本项目不适用。延长设计服务期限的计算方法：按延误的时间相应增加服务期限；增加设计费用的计算方法：不另行计算增加相关费用。</w:t>
      </w:r>
    </w:p>
    <w:p w14:paraId="1A74C3C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6.5.2 设计人发现地下文物或化石时，应按规定及时报告发包人和文物保护部门，并采取有效措施进行保护；设计人有权要求发包人延长周期，但不得要求增加费用。</w:t>
      </w:r>
    </w:p>
    <w:p w14:paraId="360B6E1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  完成设计</w:t>
      </w:r>
    </w:p>
    <w:p w14:paraId="75B545C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第6.6.3项细化为：</w:t>
      </w:r>
    </w:p>
    <w:p w14:paraId="096DFD9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6.6.3 设计文件包括纸质文件和电子文件两种形式，设计人应保证两种文件内容一致。电子文件中的文字为WORD格式、图形同时提供CAD格式和PDF格式两种，并应使用光盘和U盘分别贮存，纸质文件具体份数以发包人需求为准。</w:t>
      </w:r>
    </w:p>
    <w:p w14:paraId="4DFBDA0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  提前完成设计</w:t>
      </w:r>
    </w:p>
    <w:p w14:paraId="0588105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6.7.1 根据发包人要求或者基于专业能力判断，设计人认为能够提前完成设计的，可向发包人递交一份提前完成设计建议书，包括实施方案、提前时间、设计费用变动等内容。发包人接受建议书的，不因提前完成设计而减少设计费用；</w:t>
      </w:r>
    </w:p>
    <w:p w14:paraId="47196FC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6.7.3 由于设计人提前完成设计而给发包人带来经济效益的，发包人给予设计人如下奖励：本项目不适用。</w:t>
      </w:r>
    </w:p>
    <w:p w14:paraId="729B2323">
      <w:pPr>
        <w:pStyle w:val="68"/>
        <w:spacing w:line="360" w:lineRule="auto"/>
        <w:ind w:left="0" w:firstLine="0"/>
        <w:outlineLvl w:val="1"/>
        <w:rPr>
          <w:rFonts w:ascii="黑体" w:hAnsi="黑体"/>
          <w:color w:val="auto"/>
          <w:szCs w:val="24"/>
          <w:highlight w:val="none"/>
        </w:rPr>
      </w:pPr>
      <w:bookmarkStart w:id="803" w:name="_Toc30265"/>
      <w:bookmarkStart w:id="804" w:name="_Toc17593"/>
      <w:bookmarkStart w:id="805" w:name="_Toc15259"/>
      <w:bookmarkStart w:id="806" w:name="_Toc779"/>
      <w:bookmarkStart w:id="807" w:name="_Toc1984"/>
      <w:bookmarkStart w:id="808" w:name="_Toc27603"/>
      <w:r>
        <w:rPr>
          <w:rFonts w:hint="eastAsia" w:ascii="黑体" w:hAnsi="黑体"/>
          <w:color w:val="auto"/>
          <w:szCs w:val="24"/>
          <w:highlight w:val="none"/>
        </w:rPr>
        <w:t>8.设计</w:t>
      </w:r>
      <w:r>
        <w:rPr>
          <w:rFonts w:ascii="黑体" w:hAnsi="黑体"/>
          <w:color w:val="auto"/>
          <w:szCs w:val="24"/>
          <w:highlight w:val="none"/>
        </w:rPr>
        <w:t>文件</w:t>
      </w:r>
      <w:bookmarkEnd w:id="803"/>
      <w:bookmarkEnd w:id="804"/>
      <w:bookmarkEnd w:id="805"/>
      <w:bookmarkEnd w:id="806"/>
      <w:bookmarkEnd w:id="807"/>
      <w:bookmarkEnd w:id="808"/>
    </w:p>
    <w:p w14:paraId="13C066DF">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  设计文件接收</w:t>
      </w:r>
    </w:p>
    <w:p w14:paraId="3BA07F4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8.1.3 设计文件提交要求：</w:t>
      </w:r>
    </w:p>
    <w:p w14:paraId="7F2E33B4">
      <w:pPr>
        <w:pStyle w:val="14"/>
        <w:ind w:left="0" w:firstLine="420" w:firstLineChars="200"/>
        <w:jc w:val="left"/>
        <w:rPr>
          <w:snapToGrid w:val="0"/>
          <w:color w:val="auto"/>
          <w:highlight w:val="none"/>
        </w:rPr>
      </w:pPr>
      <w:r>
        <w:rPr>
          <w:rFonts w:hint="eastAsia"/>
          <w:snapToGrid w:val="0"/>
          <w:color w:val="auto"/>
          <w:highlight w:val="none"/>
        </w:rPr>
        <w:t>（1）合同签订后15日内，编制总体设计大纲，并报发包人批准；</w:t>
      </w:r>
    </w:p>
    <w:p w14:paraId="35C0F5AD">
      <w:pPr>
        <w:pStyle w:val="14"/>
        <w:ind w:left="0" w:firstLine="420" w:firstLineChars="200"/>
        <w:jc w:val="left"/>
        <w:rPr>
          <w:snapToGrid w:val="0"/>
          <w:color w:val="auto"/>
          <w:highlight w:val="none"/>
        </w:rPr>
      </w:pPr>
      <w:r>
        <w:rPr>
          <w:rFonts w:hint="eastAsia"/>
          <w:snapToGrid w:val="0"/>
          <w:color w:val="auto"/>
          <w:highlight w:val="none"/>
        </w:rPr>
        <w:t>（2）合同签订后30天内，提交初步设计文件送审稿；</w:t>
      </w:r>
    </w:p>
    <w:p w14:paraId="6389E6C2">
      <w:pPr>
        <w:pStyle w:val="14"/>
        <w:ind w:left="0" w:firstLine="420" w:firstLineChars="200"/>
        <w:jc w:val="left"/>
        <w:rPr>
          <w:snapToGrid w:val="0"/>
          <w:color w:val="auto"/>
          <w:highlight w:val="none"/>
        </w:rPr>
      </w:pPr>
      <w:r>
        <w:rPr>
          <w:rFonts w:hint="eastAsia"/>
          <w:snapToGrid w:val="0"/>
          <w:color w:val="auto"/>
          <w:highlight w:val="none"/>
        </w:rPr>
        <w:t>（3）初步设计文件审查后1个月内，提交主体土建工程施工图设计文件送审稿；</w:t>
      </w:r>
    </w:p>
    <w:p w14:paraId="095E95E8">
      <w:pPr>
        <w:pStyle w:val="14"/>
        <w:ind w:left="0" w:firstLine="420" w:firstLineChars="200"/>
        <w:jc w:val="left"/>
        <w:rPr>
          <w:snapToGrid w:val="0"/>
          <w:color w:val="auto"/>
          <w:highlight w:val="none"/>
        </w:rPr>
      </w:pPr>
      <w:r>
        <w:rPr>
          <w:rFonts w:hint="eastAsia"/>
          <w:snapToGrid w:val="0"/>
          <w:color w:val="auto"/>
          <w:highlight w:val="none"/>
        </w:rPr>
        <w:t>（4）收到设计咨询单位、发包人和上级主管部门审查意见后，21天内对各设计文件进行修改完善，提交初步设计文件、施工图设计文件报批稿；</w:t>
      </w:r>
    </w:p>
    <w:p w14:paraId="0CDD98E7">
      <w:pPr>
        <w:pStyle w:val="14"/>
        <w:ind w:left="0" w:firstLine="420" w:firstLineChars="200"/>
        <w:jc w:val="left"/>
        <w:rPr>
          <w:snapToGrid w:val="0"/>
          <w:color w:val="auto"/>
          <w:highlight w:val="none"/>
        </w:rPr>
      </w:pPr>
      <w:r>
        <w:rPr>
          <w:rFonts w:hint="eastAsia"/>
          <w:snapToGrid w:val="0"/>
          <w:color w:val="auto"/>
          <w:highlight w:val="none"/>
        </w:rPr>
        <w:t>（5）根据发包人项目施工招标工作进度的需要，提交开展施工招标工作所需的图纸和工程量清单、参考资料、施工项目专用技术规范等招标资料；</w:t>
      </w:r>
    </w:p>
    <w:p w14:paraId="7570EABA">
      <w:pPr>
        <w:pStyle w:val="14"/>
        <w:ind w:left="0" w:firstLine="420" w:firstLineChars="200"/>
        <w:jc w:val="left"/>
        <w:rPr>
          <w:snapToGrid w:val="0"/>
          <w:color w:val="auto"/>
          <w:highlight w:val="none"/>
        </w:rPr>
      </w:pPr>
      <w:r>
        <w:rPr>
          <w:rFonts w:hint="eastAsia"/>
          <w:snapToGrid w:val="0"/>
          <w:color w:val="auto"/>
          <w:highlight w:val="none"/>
        </w:rPr>
        <w:t>（6）施工现场配合服务：从项目开工至项目竣工验收，施工期暂定6个月，缺陷责任期24个月。</w:t>
      </w:r>
    </w:p>
    <w:p w14:paraId="431F72B7">
      <w:pPr>
        <w:pStyle w:val="14"/>
        <w:ind w:left="0" w:firstLine="420" w:firstLineChars="200"/>
        <w:jc w:val="left"/>
        <w:rPr>
          <w:snapToGrid w:val="0"/>
          <w:color w:val="auto"/>
          <w:highlight w:val="none"/>
        </w:rPr>
      </w:pPr>
      <w:r>
        <w:rPr>
          <w:rFonts w:hint="eastAsia"/>
          <w:snapToGrid w:val="0"/>
          <w:color w:val="auto"/>
          <w:highlight w:val="none"/>
        </w:rPr>
        <w:t>设计人应向发包人提交最终成果的书面计算书各一份，设计文件的电子版（图纸采用PDF格式，文字报告采用WORD格式，同时设计人还应按发包人要求分阶段提供各个标段施工招标用PDF电子版图纸）各一份。设计人应按照发出的技术联系单更新施工图设计，并在工程交工时，提供全套的变更施工图设计文件等。</w:t>
      </w:r>
    </w:p>
    <w:p w14:paraId="14F9039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  发包人审查设计文件</w:t>
      </w:r>
    </w:p>
    <w:p w14:paraId="7F45949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8.2.1 发包人审查设计文件的具体范围：设计提交的设计文件；明细内容：发包人组织专家或委托咨询单位对总体设计大纲初步设计、技术设计（如需要）、施工图设计、概预算文件、施工发包用图纸和工程量清单、施工项目专用技术规范编制及后续服务等有关项目文件进行审查。</w:t>
      </w:r>
    </w:p>
    <w:p w14:paraId="59B7DF0E">
      <w:pPr>
        <w:pStyle w:val="68"/>
        <w:spacing w:line="360" w:lineRule="auto"/>
        <w:ind w:left="0" w:firstLine="0"/>
        <w:outlineLvl w:val="1"/>
        <w:rPr>
          <w:rFonts w:ascii="黑体" w:hAnsi="黑体"/>
          <w:color w:val="auto"/>
          <w:szCs w:val="24"/>
          <w:highlight w:val="none"/>
        </w:rPr>
      </w:pPr>
      <w:bookmarkStart w:id="809" w:name="_Toc21254"/>
      <w:bookmarkStart w:id="810" w:name="_Toc23996"/>
      <w:bookmarkStart w:id="811" w:name="_Toc23570"/>
      <w:bookmarkStart w:id="812" w:name="_Toc4350"/>
      <w:bookmarkStart w:id="813" w:name="_Toc29961"/>
      <w:bookmarkStart w:id="814" w:name="_Toc9744"/>
      <w:r>
        <w:rPr>
          <w:rFonts w:hint="eastAsia" w:ascii="黑体" w:hAnsi="黑体"/>
          <w:color w:val="auto"/>
          <w:szCs w:val="24"/>
          <w:highlight w:val="none"/>
        </w:rPr>
        <w:t>10.发包</w:t>
      </w:r>
      <w:r>
        <w:rPr>
          <w:rFonts w:ascii="黑体" w:hAnsi="黑体"/>
          <w:color w:val="auto"/>
          <w:szCs w:val="24"/>
          <w:highlight w:val="none"/>
        </w:rPr>
        <w:t>和施工期间配合</w:t>
      </w:r>
      <w:bookmarkEnd w:id="809"/>
      <w:bookmarkEnd w:id="810"/>
      <w:bookmarkEnd w:id="811"/>
      <w:bookmarkEnd w:id="812"/>
      <w:bookmarkEnd w:id="813"/>
      <w:bookmarkEnd w:id="814"/>
    </w:p>
    <w:p w14:paraId="3CC8306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10.1  发包期间配合</w:t>
      </w:r>
    </w:p>
    <w:p w14:paraId="2F1FD0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10.1.2 设计人应按发包人规定的时间提供各标段施工发包所需的主要工程数量、工程说明、施工发包图纸、工程量清单、项目专用技术规范和参考资料；按发包人要求安排相关人员参加标前会，就有关设计问题进行答疑。</w:t>
      </w:r>
    </w:p>
    <w:p w14:paraId="1DAF55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  施工期间配合</w:t>
      </w:r>
    </w:p>
    <w:p w14:paraId="6509807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10.2.6 设计人应在施工现场设立代表处，明确设计代表处负责人（后续服务负责人）、机构设置、人员组成、职责分工，在接到发包人通知后一周内，向发包人核备；同时，自备满足生活、办公需要的设施、设备及车辆，做好施工现场服务，负责解决施工过程中出现的设计问题。设计人设计代表的出勤需进行考勤，常驻设计代表离开工地必须向发包人书面请假，并经发包人同意后才能离开；每月在工地天数应大于20天（特殊情况经发包人同意例外）。</w:t>
      </w:r>
    </w:p>
    <w:p w14:paraId="792FC13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本项目对设计代表的数量和资历条件要求：常驻施工现场的设计代表应不少于1名，其中路基路面分项负责人专业中的1名；设计代表应由负责本设计项目的上述专业分项负责人或项目负责人担任。</w:t>
      </w:r>
    </w:p>
    <w:p w14:paraId="68D1FD4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如果设计代表不能胜任工作、渎职或从事其他违纪、违法活动，发包人有权以书面形式提出更换要求，设计人应立即无条件派出具有同等资历的人员替换，不得拒绝。设计人在事先取得发包人书面同意后可以更换派驻现场人员，但应符合合同规定的资历要求，并不得影响工作，否则发包人有权拒绝，并按设计人违约处理。</w:t>
      </w:r>
    </w:p>
    <w:p w14:paraId="2921214E">
      <w:pPr>
        <w:pStyle w:val="68"/>
        <w:spacing w:line="360" w:lineRule="auto"/>
        <w:ind w:left="0" w:firstLine="0"/>
        <w:outlineLvl w:val="1"/>
        <w:rPr>
          <w:rFonts w:ascii="黑体" w:hAnsi="黑体"/>
          <w:color w:val="auto"/>
          <w:szCs w:val="24"/>
          <w:highlight w:val="none"/>
        </w:rPr>
      </w:pPr>
      <w:bookmarkStart w:id="815" w:name="_Toc15077"/>
      <w:bookmarkStart w:id="816" w:name="_Toc26342"/>
      <w:bookmarkStart w:id="817" w:name="_Toc30078"/>
      <w:bookmarkStart w:id="818" w:name="_Toc13584"/>
      <w:bookmarkStart w:id="819" w:name="_Toc266"/>
      <w:bookmarkStart w:id="820" w:name="_Toc21639"/>
      <w:r>
        <w:rPr>
          <w:rFonts w:hint="eastAsia" w:ascii="黑体" w:hAnsi="黑体"/>
          <w:color w:val="auto"/>
          <w:szCs w:val="24"/>
          <w:highlight w:val="none"/>
        </w:rPr>
        <w:t>11.</w:t>
      </w:r>
      <w:r>
        <w:rPr>
          <w:rFonts w:ascii="黑体" w:hAnsi="黑体"/>
          <w:color w:val="auto"/>
          <w:szCs w:val="24"/>
          <w:highlight w:val="none"/>
        </w:rPr>
        <w:t>合同变更</w:t>
      </w:r>
      <w:bookmarkEnd w:id="815"/>
      <w:bookmarkEnd w:id="816"/>
      <w:bookmarkEnd w:id="817"/>
      <w:bookmarkEnd w:id="818"/>
      <w:bookmarkEnd w:id="819"/>
      <w:bookmarkEnd w:id="820"/>
    </w:p>
    <w:p w14:paraId="6E12A05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11.1  变更情形</w:t>
      </w:r>
    </w:p>
    <w:p w14:paraId="5C8E9E62">
      <w:pPr>
        <w:pStyle w:val="14"/>
        <w:ind w:left="0" w:firstLine="420" w:firstLineChars="200"/>
        <w:jc w:val="left"/>
        <w:rPr>
          <w:rFonts w:ascii="宋体" w:hAnsi="宋体" w:cs="宋体"/>
          <w:b/>
          <w:bCs/>
          <w:color w:val="auto"/>
          <w:kern w:val="0"/>
          <w:szCs w:val="21"/>
          <w:highlight w:val="none"/>
        </w:rPr>
      </w:pPr>
      <w:r>
        <w:rPr>
          <w:rFonts w:hint="eastAsia" w:ascii="宋体" w:hAnsi="宋体" w:cs="宋体"/>
          <w:color w:val="auto"/>
          <w:kern w:val="0"/>
          <w:szCs w:val="21"/>
          <w:highlight w:val="none"/>
        </w:rPr>
        <w:t>11.1.1 合同变更时，设计服务期限的调整方法：另行协商；设计费用的调整方法：</w:t>
      </w:r>
      <w:r>
        <w:rPr>
          <w:rFonts w:hint="eastAsia" w:ascii="宋体" w:hAnsi="宋体" w:cs="宋体"/>
          <w:b/>
          <w:bCs/>
          <w:color w:val="auto"/>
          <w:kern w:val="0"/>
          <w:szCs w:val="21"/>
          <w:highlight w:val="none"/>
        </w:rPr>
        <w:t>最终设计结算金额不得超过本次发包控制价且不得超过发改设计批准的设计费（发改批复设计费金额。</w:t>
      </w:r>
    </w:p>
    <w:p w14:paraId="06DDC7B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  合理化建议</w:t>
      </w:r>
    </w:p>
    <w:p w14:paraId="4D80BA2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11.2.2 设计人提出的合理化建议降低了工程投资、缩短了施工期限或者提高了工程经济效益的，发包人给予设计人如下奖励：本项目不适用。</w:t>
      </w:r>
    </w:p>
    <w:p w14:paraId="68558CCF">
      <w:pPr>
        <w:pStyle w:val="68"/>
        <w:spacing w:line="360" w:lineRule="auto"/>
        <w:ind w:left="0" w:firstLine="0"/>
        <w:outlineLvl w:val="1"/>
        <w:rPr>
          <w:rFonts w:ascii="黑体" w:hAnsi="黑体"/>
          <w:color w:val="auto"/>
          <w:szCs w:val="24"/>
          <w:highlight w:val="none"/>
        </w:rPr>
      </w:pPr>
      <w:bookmarkStart w:id="821" w:name="_Toc10839"/>
      <w:bookmarkStart w:id="822" w:name="_Toc26819"/>
      <w:bookmarkStart w:id="823" w:name="_Toc29523"/>
      <w:bookmarkStart w:id="824" w:name="_Toc31638"/>
      <w:bookmarkStart w:id="825" w:name="_Toc28135"/>
      <w:bookmarkStart w:id="826" w:name="_Toc34"/>
      <w:r>
        <w:rPr>
          <w:rFonts w:hint="eastAsia" w:ascii="黑体" w:hAnsi="黑体"/>
          <w:color w:val="auto"/>
          <w:szCs w:val="24"/>
          <w:highlight w:val="none"/>
        </w:rPr>
        <w:t>12.</w:t>
      </w:r>
      <w:r>
        <w:rPr>
          <w:rFonts w:ascii="黑体" w:hAnsi="黑体"/>
          <w:color w:val="auto"/>
          <w:szCs w:val="24"/>
          <w:highlight w:val="none"/>
        </w:rPr>
        <w:t>合同价格与支付</w:t>
      </w:r>
      <w:bookmarkEnd w:id="821"/>
      <w:bookmarkEnd w:id="822"/>
      <w:bookmarkEnd w:id="823"/>
      <w:bookmarkEnd w:id="824"/>
      <w:bookmarkEnd w:id="825"/>
      <w:bookmarkEnd w:id="826"/>
    </w:p>
    <w:p w14:paraId="0F13249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  合同价格</w:t>
      </w:r>
    </w:p>
    <w:p w14:paraId="0302ABA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12.1.1 本合同的报价方式：总价合同</w:t>
      </w:r>
      <w:r>
        <w:rPr>
          <w:rFonts w:hint="eastAsia" w:ascii="宋体" w:hAnsi="宋体" w:cs="宋体"/>
          <w:color w:val="auto"/>
          <w:spacing w:val="6"/>
          <w:szCs w:val="21"/>
          <w:highlight w:val="none"/>
        </w:rPr>
        <w:t>。</w:t>
      </w:r>
    </w:p>
    <w:p w14:paraId="5A335B9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在合同实施期间，由于人工、材料、设备等因素的市场价格变化导致本项目设计费用变化，合同价格的调整方式和风险范围划分：不予调整。</w:t>
      </w:r>
    </w:p>
    <w:p w14:paraId="253AD569">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12.1.1.1设计费用支付阶段如下：</w:t>
      </w:r>
    </w:p>
    <w:p w14:paraId="4070853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甬金高速出入口建设工程按以下条款支付</w:t>
      </w:r>
      <w:r>
        <w:rPr>
          <w:rFonts w:hint="eastAsia" w:ascii="宋体" w:hAnsi="宋体" w:cs="宋体"/>
          <w:b/>
          <w:bCs/>
          <w:color w:val="auto"/>
          <w:kern w:val="0"/>
          <w:szCs w:val="21"/>
          <w:highlight w:val="none"/>
        </w:rPr>
        <w:t>（项目资金支付执行先进账后付款的制度)</w:t>
      </w:r>
      <w:r>
        <w:rPr>
          <w:rFonts w:hint="eastAsia" w:ascii="宋体" w:hAnsi="宋体" w:cs="宋体"/>
          <w:color w:val="auto"/>
          <w:kern w:val="0"/>
          <w:szCs w:val="21"/>
          <w:highlight w:val="none"/>
        </w:rPr>
        <w:t>。</w:t>
      </w:r>
    </w:p>
    <w:p w14:paraId="6B646C4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（1）合同签署后，设计人将初步设计文件按期完成后并送至发包人处，经发包人或上级主管部门审查、修改批准后，支付至设计费用的35％。</w:t>
      </w:r>
    </w:p>
    <w:p w14:paraId="3258426F">
      <w:pPr>
        <w:pStyle w:val="14"/>
        <w:ind w:left="0" w:firstLine="420" w:firstLineChars="200"/>
        <w:jc w:val="left"/>
        <w:rPr>
          <w:rFonts w:ascii="宋体" w:hAnsi="宋体" w:cs="宋体"/>
          <w:strike/>
          <w:color w:val="auto"/>
          <w:kern w:val="0"/>
          <w:szCs w:val="21"/>
          <w:highlight w:val="none"/>
        </w:rPr>
      </w:pPr>
      <w:r>
        <w:rPr>
          <w:rFonts w:hint="eastAsia" w:ascii="宋体" w:hAnsi="宋体" w:cs="宋体"/>
          <w:strike/>
          <w:color w:val="auto"/>
          <w:kern w:val="0"/>
          <w:szCs w:val="21"/>
          <w:highlight w:val="none"/>
        </w:rPr>
        <w:t>（</w:t>
      </w:r>
      <w:r>
        <w:rPr>
          <w:rFonts w:ascii="宋体" w:hAnsi="宋体" w:cs="宋体"/>
          <w:strike/>
          <w:color w:val="auto"/>
          <w:kern w:val="0"/>
          <w:szCs w:val="21"/>
          <w:highlight w:val="none"/>
        </w:rPr>
        <w:t>3）主体土建工程施工图设计文件按期完成后并送至发包人处，经发包人或上级主管部门审查、批准后，支付至</w:t>
      </w:r>
      <w:r>
        <w:rPr>
          <w:rFonts w:hint="eastAsia" w:ascii="宋体" w:hAnsi="宋体" w:cs="宋体"/>
          <w:strike/>
          <w:color w:val="auto"/>
          <w:kern w:val="0"/>
          <w:szCs w:val="21"/>
          <w:highlight w:val="none"/>
        </w:rPr>
        <w:t>设计费用的</w:t>
      </w:r>
      <w:r>
        <w:rPr>
          <w:rFonts w:ascii="宋体" w:hAnsi="宋体" w:cs="宋体"/>
          <w:strike/>
          <w:color w:val="auto"/>
          <w:kern w:val="0"/>
          <w:szCs w:val="21"/>
          <w:highlight w:val="none"/>
        </w:rPr>
        <w:t>50％；</w:t>
      </w:r>
    </w:p>
    <w:p w14:paraId="373B5B1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（4）主体土建工程施工发包图纸、参考资料、工程量清单及施工专用技术规范按期完成后并送至发包人处，发包人土建施工发包完成并取得施工开工令之后，支付设计费用的60％；</w:t>
      </w:r>
    </w:p>
    <w:p w14:paraId="562E246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5）本项目全部工程交工证书签发后28天内，发包人向设计人支付设计费用的结算费用的98.5％（如果质量保证金采用工程保函形式，支付至结算金额的100％），缺陷责任期满后支付剩余质量保证金金额（如果质量保证金采用工程保函形式，则不再支付）。</w:t>
      </w:r>
    </w:p>
    <w:p w14:paraId="48CBD1D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12.1.2 合同价格应当包括完成本发包项目设计所有工作量和提供全套设计文件（包括设计大纲、初步设计概算、修正概算（如需要）、分阶段施工图预算编制（如有）及全部基础资料）、施工发包图纸（包括施工图补充设计）、工程量清单、施工专用技术规范及后续服务的全部费用和国家规定的各项税费。</w:t>
      </w:r>
    </w:p>
    <w:p w14:paraId="795CED1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12.1.3.本款约定为：在合同实施期间，本项目设计费用不随国家政策调整或法规、标准及市场因素变化进行调整，不随施工合同履约期间的变更增减而调整。最终设计结算金额不得超过本次发包控制价且不得超过发改设计批准的设计费（发改批复设计费金额)。</w:t>
      </w:r>
    </w:p>
    <w:p w14:paraId="7AC4125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12.2  预付款</w:t>
      </w:r>
    </w:p>
    <w:p w14:paraId="2CED7ED1">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12.2.1 预付款的额度、支付方式及抵扣方式：本项目无预付款。</w:t>
      </w:r>
    </w:p>
    <w:p w14:paraId="168B3DC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  中期支付</w:t>
      </w:r>
    </w:p>
    <w:p w14:paraId="1803B21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12.3.1 中期支付申请的格式及份数： 按发包人要求 。</w:t>
      </w:r>
    </w:p>
    <w:p w14:paraId="6B06B036">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12.3.2 逾期付款违约金：每延期支付1天， 发包人应付给设计人拖欠金额的中国人民银行发布的同期六个月以内（含六个月）短期贷款基准利率的违约金。</w:t>
      </w:r>
    </w:p>
    <w:p w14:paraId="1A1CFD7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  费用结算</w:t>
      </w:r>
    </w:p>
    <w:p w14:paraId="4C4D735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12.4.1 设计费用结算申请的份数和提交期限：按发包人要求。</w:t>
      </w:r>
    </w:p>
    <w:p w14:paraId="752AC90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12.4.2 逾期付款违约金：每延期支付1天， 发包人应付给设计人拖欠金额的中国人民银行发布的同期六个月以内（含六个月）短期贷款基准利率的违约金。</w:t>
      </w:r>
    </w:p>
    <w:p w14:paraId="5549D45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12.4.3设计最终结算价=批复设计费*（中标价/控制价）</w:t>
      </w:r>
    </w:p>
    <w:p w14:paraId="083AB14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12.5  暂列金额</w:t>
      </w:r>
    </w:p>
    <w:p w14:paraId="22EDAAFE">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无</w:t>
      </w:r>
    </w:p>
    <w:p w14:paraId="5798648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12.6  质量保证金</w:t>
      </w:r>
    </w:p>
    <w:p w14:paraId="7873403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本项目的质量保证金为设计费用总额的1.5％。</w:t>
      </w:r>
    </w:p>
    <w:p w14:paraId="756940C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质量保证金可以采用现金、支票或工程保函形式（按照“关于在全省工程建设领域改革保证金制度的通知”（浙建〔2020〕7号），工程保函包括银行保函、保险公司保证保险保单和融资担保公司保函）。采用工程保函时，出具保函的机构须具有相应担保能力，且按照发包人批准的格式出具。</w:t>
      </w:r>
    </w:p>
    <w:p w14:paraId="71314398">
      <w:pPr>
        <w:pStyle w:val="68"/>
        <w:spacing w:line="360" w:lineRule="auto"/>
        <w:ind w:left="0" w:firstLine="0"/>
        <w:outlineLvl w:val="1"/>
        <w:rPr>
          <w:rFonts w:ascii="黑体" w:hAnsi="黑体"/>
          <w:color w:val="auto"/>
          <w:szCs w:val="24"/>
          <w:highlight w:val="none"/>
        </w:rPr>
      </w:pPr>
      <w:bookmarkStart w:id="827" w:name="_Toc2136"/>
      <w:bookmarkStart w:id="828" w:name="_Toc3486"/>
      <w:bookmarkStart w:id="829" w:name="_Toc24732"/>
      <w:bookmarkStart w:id="830" w:name="_Toc21750"/>
      <w:bookmarkStart w:id="831" w:name="_Toc15161"/>
      <w:bookmarkStart w:id="832" w:name="_Toc6648"/>
      <w:r>
        <w:rPr>
          <w:rFonts w:hint="eastAsia" w:ascii="黑体" w:hAnsi="黑体"/>
          <w:color w:val="auto"/>
          <w:szCs w:val="24"/>
          <w:highlight w:val="none"/>
        </w:rPr>
        <w:t>14.</w:t>
      </w:r>
      <w:r>
        <w:rPr>
          <w:rFonts w:ascii="黑体" w:hAnsi="黑体"/>
          <w:color w:val="auto"/>
          <w:szCs w:val="24"/>
          <w:highlight w:val="none"/>
        </w:rPr>
        <w:t>违约</w:t>
      </w:r>
      <w:bookmarkEnd w:id="827"/>
      <w:bookmarkEnd w:id="828"/>
      <w:bookmarkEnd w:id="829"/>
      <w:bookmarkEnd w:id="830"/>
      <w:bookmarkEnd w:id="831"/>
      <w:bookmarkEnd w:id="832"/>
    </w:p>
    <w:p w14:paraId="140D52C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  设计人违约</w:t>
      </w:r>
    </w:p>
    <w:p w14:paraId="70B8A135">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14.1.1合同履行中发生下列情况之一的，属设计人违约：</w:t>
      </w:r>
    </w:p>
    <w:p w14:paraId="51B7ED6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第（6）、（10）、（11）、（12）目细化为：</w:t>
      </w:r>
    </w:p>
    <w:p w14:paraId="2C0A1DD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（6）设计人违反第4条及第10.2款的规定，未按承诺或未按发包人的要求及时配备称职的设计人员，或未按规定替换，或擅离职守的；</w:t>
      </w:r>
    </w:p>
    <w:p w14:paraId="164386B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（10）因设计深度不够、资料不足、方案缺陷或质量低劣，造成施工图预算超过初步设计概算，或工程竣工决算超过施工图预算；</w:t>
      </w:r>
    </w:p>
    <w:p w14:paraId="6017DC2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11）由于设计人的过失或责任，引起工程发生重（较）大设计变更，或由于设计人的过失或责任，单个合同段因变更引起的工程费用调整累计超过该合同价（不含100章及暂列金额）5%以上的。（12）由于设计人的过失或责任导致设计质量事故。</w:t>
      </w:r>
    </w:p>
    <w:p w14:paraId="651F051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14.1.2 设计人发生违约情况时，发包人有权向设计人课以违约金，具体约定如下：</w:t>
      </w:r>
    </w:p>
    <w:p w14:paraId="4E7FA952">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a.设计人发生第14.1.1（1）目约定的违约情况，应限期改正，并课以违约金：对未按本合同规定的强制性技术标准、规范和规程进行设计的，课以不超过签约合同价10％违约金；对未根据勘察成果进行工程设计的，视情况课以不超过签约合同价5％的违约金；对设计人在设计文件中指定或变相指定工程建设材料或设备生产厂、供应商的，每一处课以不超过签约合同价1‰的违约金。</w:t>
      </w:r>
    </w:p>
    <w:p w14:paraId="432CAF6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b.设计人发生第14.1.1（2）目约定的违约情况，设计人将设计任务转包的，发包人将有权解除合同，并课以设计人不超过设计签约合同价10％的违约金；未经发包人同意私自分包的，责令改正，并视情况课以不超过签约合同价2％的违约金。</w:t>
      </w:r>
    </w:p>
    <w:p w14:paraId="26A0BC44">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c.设计人发生第14.1.1（3）目约定的违约情况，未能按期提交勘察成果、设计文件、深化初步设计、发包工程量清单、施工专用技术规范等发包所需的资料（发包人同意延长期限的除外），每延期1天课以签约合同价的1‰的违约金，累计不超过签约合同价的5％，延期超过60天时，发包人可以解除合同。</w:t>
      </w:r>
    </w:p>
    <w:p w14:paraId="78DE082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d.设计人发生第14.1.1（4）目约定的违约情形时，发包人可通知设计人立即解除合同，并按合同规定及有关法律处理。</w:t>
      </w:r>
    </w:p>
    <w:p w14:paraId="19CD164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e.设计人发生第14.1.1（5）目约定的违约情况，未能在规定期限内完成对勘察成果、设计文件（发包人同意延长期限的除外），每延期1天课以不超过签约合同价的1‰的违约金，累计不超过签约合同价的5％，延期超过60天时，发包人可以解除合同。</w:t>
      </w:r>
    </w:p>
    <w:p w14:paraId="1E4C790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f.设计人发生第14.1.1（6）目约定的违约情况，更换项目负责人课以20万元的违约金，各分项负责人每更换1人课以5万元的违约金。设计代表未经发包人同意擅自离开工地，每天课以违约金3000元／人；设计代表若每月在工地天数不足20天（特殊情形经发包人同意例外）者，每不足一天额外课以违约金2000元／人。</w:t>
      </w:r>
    </w:p>
    <w:p w14:paraId="3255ECFB">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g.设计人发生第14.1.1（7）目约定的违约情况，每发生一次，课以不超过签约合同价的2‰的违约金。</w:t>
      </w:r>
    </w:p>
    <w:p w14:paraId="4BCD8FC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h.设计人发生第14.1.1（8）目约定的违约情况，设计人未及时选派合格的设计代表进驻施工现场的，每1天课以不超过签约合同价的2‰的违约金；未能在发包人和设计人约定的时间内给予答复、完成变更设计的，每延期1天课以不超过签约合同价的5‰，累计不超过签约合同价的5％。</w:t>
      </w:r>
    </w:p>
    <w:p w14:paraId="020CDC8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i.设计人发生第14.1.1（9）目约定的违约情况，除由设计人负责继续完善设计外，发包人还可视造成的时间延误和费用损失，课以不超过签约合同价10％的违约金，同时，承担相应的赔偿责任。</w:t>
      </w:r>
    </w:p>
    <w:p w14:paraId="7DD8D2E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j.设计人发生第14.1.1（10）目约定的违约情况，发包人可视造成的时间延误和费用损失，要求设计人负责继续完善设计或终止设计合同，或取消设计人履行下阶段工作的资格。无论发包人是否要求设计人继续完善设计或终止设计合同，发包人均将课以不超过签约合同价的2％的违约金，还将视造成的时间延误和费用损失情况要求设计人承担相应的赔偿责任，赔偿金最高上限不超过设计签约合同价的10％。</w:t>
      </w:r>
    </w:p>
    <w:p w14:paraId="7C66B9AA">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k.设计人发生第14.1.1（11）目约定的违约情况，设计人应无条件及时完成该设计变更，不得向发包人提出补偿费用的要求，同时发包人还将向设计人课以该变更工程量造价5％的赔偿金，但最多不超过设计签约合同价的10％。</w:t>
      </w:r>
    </w:p>
    <w:p w14:paraId="6D9FAB2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l.设计人发生第14.1.1（12）目约定的违约情况，发生一般质量事故的，设计人除应免收损失部分的设计费外，设计人还应无偿继续完善设计，并承担相当于直接受损失部分设计费的赔偿金；发生重大质量事故的，设计人除应免收损失部分的设计费外，设计人还应无偿继续完善设计，并承担相当于直接受损失部分设计费的赔偿金，同时课以不超过签约合同价10％的违约金，并报请有关部门视事故造成的损失情况给予其他处罚。</w:t>
      </w:r>
    </w:p>
    <w:p w14:paraId="6B99E027">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 xml:space="preserve">所有违约金在设计人履约保证金中扣除，当履约保证金不足扣除时，违约金将在设计人设计费中扣除，赔偿金在设计人设计费中扣除。 </w:t>
      </w:r>
    </w:p>
    <w:p w14:paraId="7AD5965D">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14.2  发包人违约</w:t>
      </w:r>
    </w:p>
    <w:p w14:paraId="4883B328">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14.2.2 发包人发生违约情况时，设计人有权向发包人课以违约金，具体约定如下：</w:t>
      </w:r>
    </w:p>
    <w:p w14:paraId="6CDAC5F0">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a、在合同履行期间，发包人要求终止或解除合同的（但并非设计人原因造成的），发包人应按设计人完成的实际工作量支付费用；</w:t>
      </w:r>
    </w:p>
    <w:p w14:paraId="34CFA7C7">
      <w:pPr>
        <w:pStyle w:val="68"/>
        <w:spacing w:line="360" w:lineRule="auto"/>
        <w:ind w:left="0" w:firstLine="0"/>
        <w:outlineLvl w:val="1"/>
        <w:rPr>
          <w:rFonts w:ascii="黑体" w:hAnsi="黑体"/>
          <w:color w:val="auto"/>
          <w:szCs w:val="24"/>
          <w:highlight w:val="none"/>
        </w:rPr>
      </w:pPr>
      <w:bookmarkStart w:id="833" w:name="_Toc31674"/>
      <w:bookmarkStart w:id="834" w:name="_Toc28622"/>
      <w:bookmarkStart w:id="835" w:name="_Toc24825"/>
      <w:bookmarkStart w:id="836" w:name="_Toc6070"/>
      <w:bookmarkStart w:id="837" w:name="_Toc27222"/>
      <w:bookmarkStart w:id="838" w:name="_Toc19406"/>
      <w:r>
        <w:rPr>
          <w:rFonts w:hint="eastAsia" w:ascii="黑体" w:hAnsi="黑体"/>
          <w:color w:val="auto"/>
          <w:szCs w:val="24"/>
          <w:highlight w:val="none"/>
        </w:rPr>
        <w:t>15.</w:t>
      </w:r>
      <w:r>
        <w:rPr>
          <w:rFonts w:ascii="黑体" w:hAnsi="黑体"/>
          <w:color w:val="auto"/>
          <w:szCs w:val="24"/>
          <w:highlight w:val="none"/>
        </w:rPr>
        <w:t>争议的解决</w:t>
      </w:r>
      <w:bookmarkEnd w:id="833"/>
      <w:bookmarkEnd w:id="834"/>
      <w:bookmarkEnd w:id="835"/>
      <w:bookmarkEnd w:id="836"/>
      <w:bookmarkEnd w:id="837"/>
      <w:bookmarkEnd w:id="838"/>
    </w:p>
    <w:p w14:paraId="554F72E3">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15.1  争议的最终解决方式：诉讼。</w:t>
      </w:r>
    </w:p>
    <w:p w14:paraId="3790210C">
      <w:pPr>
        <w:pStyle w:val="14"/>
        <w:ind w:left="0"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如采用诉讼，诉讼机构名称： 项目所在地人民法院。</w:t>
      </w:r>
    </w:p>
    <w:p w14:paraId="3726DDD5">
      <w:pPr>
        <w:pStyle w:val="68"/>
        <w:spacing w:line="360" w:lineRule="auto"/>
        <w:ind w:left="0" w:firstLine="0"/>
        <w:outlineLvl w:val="1"/>
        <w:rPr>
          <w:rFonts w:ascii="黑体" w:hAnsi="黑体"/>
          <w:color w:val="auto"/>
          <w:szCs w:val="24"/>
          <w:highlight w:val="none"/>
        </w:rPr>
      </w:pPr>
      <w:bookmarkStart w:id="839" w:name="_Toc1489"/>
      <w:bookmarkStart w:id="840" w:name="_Toc17015"/>
      <w:bookmarkStart w:id="841" w:name="_Toc19199"/>
      <w:bookmarkStart w:id="842" w:name="_Toc9061"/>
      <w:r>
        <w:rPr>
          <w:rFonts w:hint="eastAsia" w:ascii="黑体" w:hAnsi="黑体"/>
          <w:color w:val="auto"/>
          <w:szCs w:val="24"/>
          <w:highlight w:val="none"/>
        </w:rPr>
        <w:t>16.其它</w:t>
      </w:r>
      <w:bookmarkEnd w:id="839"/>
      <w:bookmarkEnd w:id="840"/>
      <w:bookmarkEnd w:id="841"/>
      <w:bookmarkEnd w:id="842"/>
    </w:p>
    <w:p w14:paraId="61F33C72">
      <w:pPr>
        <w:pStyle w:val="14"/>
        <w:numPr>
          <w:ilvl w:val="0"/>
          <w:numId w:val="2"/>
        </w:numPr>
        <w:spacing w:line="400" w:lineRule="exact"/>
        <w:ind w:firstLine="420" w:firstLineChars="200"/>
        <w:jc w:val="left"/>
        <w:rPr>
          <w:rFonts w:ascii="宋体" w:hAnsi="宋体" w:cs="宋体"/>
          <w:color w:val="auto"/>
          <w:kern w:val="0"/>
          <w:highlight w:val="none"/>
        </w:rPr>
      </w:pPr>
      <w:r>
        <w:rPr>
          <w:rFonts w:ascii="宋体" w:hAnsi="宋体" w:cs="宋体"/>
          <w:color w:val="auto"/>
          <w:kern w:val="0"/>
          <w:highlight w:val="none"/>
        </w:rPr>
        <w:br w:type="page"/>
      </w:r>
    </w:p>
    <w:p w14:paraId="557B19A7">
      <w:pPr>
        <w:pStyle w:val="14"/>
        <w:spacing w:line="400" w:lineRule="exact"/>
        <w:ind w:firstLine="420" w:firstLineChars="200"/>
        <w:jc w:val="left"/>
        <w:rPr>
          <w:rFonts w:ascii="宋体" w:hAnsi="宋体" w:cs="宋体"/>
          <w:color w:val="auto"/>
          <w:kern w:val="0"/>
          <w:highlight w:val="none"/>
        </w:rPr>
      </w:pPr>
    </w:p>
    <w:p w14:paraId="614C5B2D">
      <w:pPr>
        <w:pStyle w:val="14"/>
        <w:spacing w:line="400" w:lineRule="exact"/>
        <w:ind w:firstLine="420" w:firstLineChars="200"/>
        <w:jc w:val="left"/>
        <w:rPr>
          <w:rFonts w:ascii="宋体" w:hAnsi="宋体" w:cs="宋体"/>
          <w:color w:val="auto"/>
          <w:kern w:val="0"/>
          <w:highlight w:val="none"/>
        </w:rPr>
      </w:pPr>
    </w:p>
    <w:p w14:paraId="65F95FD9">
      <w:pPr>
        <w:pStyle w:val="14"/>
        <w:spacing w:line="400" w:lineRule="exact"/>
        <w:ind w:firstLine="420" w:firstLineChars="200"/>
        <w:jc w:val="left"/>
        <w:rPr>
          <w:rFonts w:ascii="宋体" w:hAnsi="宋体" w:cs="宋体"/>
          <w:color w:val="auto"/>
          <w:kern w:val="0"/>
          <w:highlight w:val="none"/>
        </w:rPr>
      </w:pPr>
    </w:p>
    <w:p w14:paraId="7A88892E">
      <w:pPr>
        <w:pStyle w:val="14"/>
        <w:spacing w:line="400" w:lineRule="exact"/>
        <w:ind w:firstLine="420" w:firstLineChars="200"/>
        <w:jc w:val="left"/>
        <w:rPr>
          <w:rFonts w:ascii="宋体" w:hAnsi="宋体" w:cs="宋体"/>
          <w:color w:val="auto"/>
          <w:kern w:val="0"/>
          <w:highlight w:val="none"/>
        </w:rPr>
      </w:pPr>
    </w:p>
    <w:p w14:paraId="61E2CC28">
      <w:pPr>
        <w:pStyle w:val="14"/>
        <w:spacing w:line="400" w:lineRule="exact"/>
        <w:ind w:firstLine="420" w:firstLineChars="200"/>
        <w:jc w:val="left"/>
        <w:rPr>
          <w:rFonts w:ascii="宋体" w:hAnsi="宋体" w:cs="宋体"/>
          <w:color w:val="auto"/>
          <w:kern w:val="0"/>
          <w:highlight w:val="none"/>
        </w:rPr>
      </w:pPr>
    </w:p>
    <w:p w14:paraId="636C7361">
      <w:pPr>
        <w:pStyle w:val="14"/>
        <w:spacing w:line="400" w:lineRule="exact"/>
        <w:ind w:firstLine="420" w:firstLineChars="200"/>
        <w:jc w:val="left"/>
        <w:rPr>
          <w:rFonts w:ascii="宋体" w:hAnsi="宋体" w:cs="宋体"/>
          <w:color w:val="auto"/>
          <w:kern w:val="0"/>
          <w:highlight w:val="none"/>
        </w:rPr>
      </w:pPr>
    </w:p>
    <w:p w14:paraId="16097E29">
      <w:pPr>
        <w:pStyle w:val="14"/>
        <w:spacing w:line="400" w:lineRule="exact"/>
        <w:ind w:firstLine="420" w:firstLineChars="200"/>
        <w:jc w:val="left"/>
        <w:rPr>
          <w:rFonts w:ascii="宋体" w:hAnsi="宋体" w:cs="宋体"/>
          <w:color w:val="auto"/>
          <w:kern w:val="0"/>
          <w:highlight w:val="none"/>
        </w:rPr>
      </w:pPr>
    </w:p>
    <w:p w14:paraId="44F64AC8">
      <w:pPr>
        <w:pStyle w:val="14"/>
        <w:spacing w:line="400" w:lineRule="exact"/>
        <w:ind w:firstLine="420" w:firstLineChars="200"/>
        <w:jc w:val="left"/>
        <w:rPr>
          <w:rFonts w:ascii="宋体" w:hAnsi="宋体" w:cs="宋体"/>
          <w:color w:val="auto"/>
          <w:kern w:val="0"/>
          <w:highlight w:val="none"/>
        </w:rPr>
      </w:pPr>
    </w:p>
    <w:p w14:paraId="22F50CFC">
      <w:pPr>
        <w:pStyle w:val="14"/>
        <w:spacing w:line="400" w:lineRule="exact"/>
        <w:ind w:firstLine="420" w:firstLineChars="200"/>
        <w:jc w:val="left"/>
        <w:rPr>
          <w:rFonts w:ascii="宋体" w:hAnsi="宋体" w:cs="宋体"/>
          <w:color w:val="auto"/>
          <w:kern w:val="0"/>
          <w:highlight w:val="none"/>
        </w:rPr>
      </w:pPr>
    </w:p>
    <w:p w14:paraId="6F919F5C">
      <w:pPr>
        <w:pStyle w:val="14"/>
        <w:spacing w:line="400" w:lineRule="exact"/>
        <w:ind w:firstLine="420" w:firstLineChars="200"/>
        <w:jc w:val="left"/>
        <w:rPr>
          <w:color w:val="auto"/>
          <w:highlight w:val="none"/>
        </w:rPr>
      </w:pPr>
    </w:p>
    <w:p w14:paraId="3788B82D">
      <w:pPr>
        <w:pStyle w:val="62"/>
        <w:jc w:val="center"/>
        <w:rPr>
          <w:color w:val="auto"/>
          <w:highlight w:val="none"/>
        </w:rPr>
      </w:pPr>
      <w:bookmarkStart w:id="843" w:name="_Toc30137"/>
      <w:bookmarkStart w:id="844" w:name="_Toc464"/>
      <w:bookmarkStart w:id="845" w:name="_Toc15192"/>
      <w:bookmarkStart w:id="846" w:name="_Toc32006"/>
      <w:bookmarkStart w:id="847" w:name="_Toc23386"/>
      <w:bookmarkStart w:id="848" w:name="_Toc17928"/>
      <w:r>
        <w:rPr>
          <w:rFonts w:hint="eastAsia"/>
          <w:color w:val="auto"/>
          <w:highlight w:val="none"/>
        </w:rPr>
        <w:t>第三节 合同附件格式</w:t>
      </w:r>
      <w:bookmarkEnd w:id="843"/>
      <w:bookmarkEnd w:id="844"/>
      <w:bookmarkEnd w:id="845"/>
      <w:bookmarkEnd w:id="846"/>
      <w:bookmarkEnd w:id="847"/>
      <w:bookmarkEnd w:id="848"/>
    </w:p>
    <w:p w14:paraId="0AB7A6EF">
      <w:pPr>
        <w:pStyle w:val="62"/>
        <w:rPr>
          <w:rFonts w:ascii="黑体" w:hAnsi="黑体"/>
          <w:color w:val="auto"/>
          <w:szCs w:val="28"/>
          <w:highlight w:val="none"/>
        </w:rPr>
      </w:pPr>
      <w:r>
        <w:rPr>
          <w:color w:val="auto"/>
          <w:highlight w:val="none"/>
        </w:rPr>
        <w:br w:type="page"/>
      </w:r>
      <w:bookmarkStart w:id="849" w:name="_Toc6444"/>
      <w:bookmarkStart w:id="850" w:name="_Toc1776"/>
      <w:bookmarkStart w:id="851" w:name="_Toc19513"/>
      <w:bookmarkStart w:id="852" w:name="_Toc30674"/>
      <w:bookmarkStart w:id="853" w:name="_Toc2857"/>
      <w:bookmarkStart w:id="854" w:name="_Toc11977"/>
      <w:r>
        <w:rPr>
          <w:rFonts w:hint="eastAsia" w:ascii="黑体" w:hAnsi="黑体"/>
          <w:color w:val="auto"/>
          <w:szCs w:val="28"/>
          <w:highlight w:val="none"/>
        </w:rPr>
        <w:t>附件一 合同协议书</w:t>
      </w:r>
      <w:bookmarkEnd w:id="849"/>
      <w:bookmarkEnd w:id="850"/>
      <w:bookmarkEnd w:id="851"/>
      <w:bookmarkEnd w:id="852"/>
      <w:bookmarkEnd w:id="853"/>
      <w:bookmarkEnd w:id="854"/>
      <w:r>
        <w:rPr>
          <w:rFonts w:hint="eastAsia" w:ascii="黑体" w:hAnsi="黑体"/>
          <w:color w:val="auto"/>
          <w:szCs w:val="28"/>
          <w:highlight w:val="none"/>
        </w:rPr>
        <w:t xml:space="preserve"> </w:t>
      </w:r>
    </w:p>
    <w:p w14:paraId="73C66AD2">
      <w:pPr>
        <w:pStyle w:val="14"/>
        <w:spacing w:line="400" w:lineRule="exact"/>
        <w:jc w:val="center"/>
        <w:rPr>
          <w:rFonts w:ascii="黑体" w:hAnsi="黑体" w:eastAsia="黑体"/>
          <w:color w:val="auto"/>
          <w:kern w:val="0"/>
          <w:sz w:val="32"/>
          <w:szCs w:val="32"/>
          <w:highlight w:val="none"/>
        </w:rPr>
      </w:pPr>
      <w:r>
        <w:rPr>
          <w:rFonts w:hint="eastAsia" w:ascii="黑体" w:hAnsi="黑体" w:eastAsia="黑体" w:cs="宋体"/>
          <w:color w:val="auto"/>
          <w:kern w:val="0"/>
          <w:sz w:val="32"/>
          <w:szCs w:val="32"/>
          <w:highlight w:val="none"/>
        </w:rPr>
        <w:t>合同协议书</w:t>
      </w:r>
    </w:p>
    <w:p w14:paraId="69F812C1">
      <w:pPr>
        <w:pStyle w:val="14"/>
        <w:spacing w:line="400" w:lineRule="exact"/>
        <w:jc w:val="left"/>
        <w:rPr>
          <w:color w:val="auto"/>
          <w:kern w:val="0"/>
          <w:highlight w:val="none"/>
        </w:rPr>
      </w:pPr>
    </w:p>
    <w:p w14:paraId="0F49276D">
      <w:pPr>
        <w:pStyle w:val="14"/>
        <w:spacing w:line="400" w:lineRule="exact"/>
        <w:ind w:left="0" w:firstLine="420" w:firstLineChars="200"/>
        <w:jc w:val="left"/>
        <w:rPr>
          <w:color w:val="auto"/>
          <w:kern w:val="0"/>
          <w:highlight w:val="none"/>
        </w:rPr>
      </w:pP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ascii="宋体" w:hAnsi="宋体" w:cs="宋体"/>
          <w:color w:val="auto"/>
          <w:kern w:val="0"/>
          <w:highlight w:val="none"/>
        </w:rPr>
        <w:t>(发包人名称，以下简称“发包人”)为实施</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ascii="宋体" w:hAnsi="宋体" w:cs="宋体"/>
          <w:color w:val="auto"/>
          <w:kern w:val="0"/>
          <w:highlight w:val="none"/>
        </w:rPr>
        <w:t xml:space="preserve"> </w:t>
      </w:r>
      <w:r>
        <w:rPr>
          <w:rFonts w:hint="eastAsia" w:ascii="宋体" w:hAnsi="宋体" w:cs="宋体"/>
          <w:color w:val="auto"/>
          <w:kern w:val="0"/>
          <w:highlight w:val="none"/>
        </w:rPr>
        <w:t>（项目名称），已接受</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ascii="宋体" w:hAnsi="宋体" w:cs="宋体"/>
          <w:color w:val="auto"/>
          <w:kern w:val="0"/>
          <w:highlight w:val="none"/>
        </w:rPr>
        <w:t>(</w:t>
      </w:r>
      <w:r>
        <w:rPr>
          <w:color w:val="auto"/>
          <w:highlight w:val="none"/>
        </w:rPr>
        <w:t>设计人名称，以下简称</w:t>
      </w:r>
      <w:r>
        <w:rPr>
          <w:rFonts w:hint="eastAsia"/>
          <w:color w:val="auto"/>
          <w:highlight w:val="none"/>
        </w:rPr>
        <w:t>“</w:t>
      </w:r>
      <w:r>
        <w:rPr>
          <w:color w:val="auto"/>
          <w:highlight w:val="none"/>
        </w:rPr>
        <w:t>设计人</w:t>
      </w:r>
      <w:r>
        <w:rPr>
          <w:rFonts w:hint="eastAsia"/>
          <w:color w:val="auto"/>
          <w:highlight w:val="none"/>
        </w:rPr>
        <w:t>”</w:t>
      </w:r>
      <w:r>
        <w:rPr>
          <w:rFonts w:ascii="宋体" w:hAnsi="宋体" w:cs="宋体"/>
          <w:color w:val="auto"/>
          <w:kern w:val="0"/>
          <w:highlight w:val="none"/>
        </w:rPr>
        <w:t>) 对该项目</w:t>
      </w:r>
      <w:r>
        <w:rPr>
          <w:rFonts w:ascii="宋体" w:hAnsi="宋体" w:cs="宋体"/>
          <w:color w:val="auto"/>
          <w:kern w:val="0"/>
          <w:highlight w:val="none"/>
          <w:u w:val="single"/>
        </w:rPr>
        <w:t xml:space="preserve">    </w:t>
      </w:r>
      <w:r>
        <w:rPr>
          <w:rFonts w:hint="eastAsia" w:ascii="宋体" w:hAnsi="宋体" w:cs="宋体"/>
          <w:color w:val="auto"/>
          <w:kern w:val="0"/>
          <w:highlight w:val="none"/>
        </w:rPr>
        <w:t>标段设计的竞包。发包人和设计人共同达成如下协议：</w:t>
      </w:r>
    </w:p>
    <w:p w14:paraId="2D01AFE1">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1.第</w:t>
      </w:r>
      <w:r>
        <w:rPr>
          <w:rFonts w:ascii="宋体" w:hAnsi="宋体" w:cs="宋体"/>
          <w:color w:val="auto"/>
          <w:kern w:val="0"/>
          <w:highlight w:val="none"/>
          <w:u w:val="single"/>
        </w:rPr>
        <w:t xml:space="preserve">   </w:t>
      </w:r>
      <w:r>
        <w:rPr>
          <w:rFonts w:hint="eastAsia" w:ascii="宋体" w:hAnsi="宋体" w:cs="宋体"/>
          <w:color w:val="auto"/>
          <w:kern w:val="0"/>
          <w:highlight w:val="none"/>
        </w:rPr>
        <w:t>标段由</w:t>
      </w:r>
      <w:r>
        <w:rPr>
          <w:rFonts w:ascii="宋体" w:hAnsi="宋体" w:cs="宋体"/>
          <w:color w:val="auto"/>
          <w:kern w:val="0"/>
          <w:highlight w:val="none"/>
        </w:rPr>
        <w:t>K</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至</w:t>
      </w:r>
      <w:r>
        <w:rPr>
          <w:rFonts w:ascii="宋体" w:hAnsi="宋体" w:cs="宋体"/>
          <w:color w:val="auto"/>
          <w:kern w:val="0"/>
          <w:highlight w:val="none"/>
        </w:rPr>
        <w:t>K</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，长约</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ascii="宋体" w:hAnsi="宋体" w:cs="宋体"/>
          <w:color w:val="auto"/>
          <w:kern w:val="0"/>
          <w:highlight w:val="none"/>
        </w:rPr>
        <w:t>km</w:t>
      </w:r>
      <w:r>
        <w:rPr>
          <w:rFonts w:hint="eastAsia" w:ascii="宋体" w:hAnsi="宋体" w:cs="宋体"/>
          <w:color w:val="auto"/>
          <w:kern w:val="0"/>
          <w:highlight w:val="none"/>
        </w:rPr>
        <w:t>，公路等级为</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，设计时速为</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w:t>
      </w:r>
      <w:r>
        <w:rPr>
          <w:rFonts w:ascii="宋体" w:hAnsi="宋体" w:cs="宋体"/>
          <w:color w:val="auto"/>
          <w:kern w:val="0"/>
          <w:highlight w:val="none"/>
          <w:u w:val="single"/>
        </w:rPr>
        <w:t xml:space="preserve">     </w:t>
      </w:r>
      <w:r>
        <w:rPr>
          <w:rFonts w:hint="eastAsia" w:ascii="宋体" w:hAnsi="宋体" w:cs="宋体"/>
          <w:color w:val="auto"/>
          <w:kern w:val="0"/>
          <w:highlight w:val="none"/>
        </w:rPr>
        <w:t>路面，有</w:t>
      </w:r>
      <w:r>
        <w:rPr>
          <w:rFonts w:ascii="宋体" w:hAnsi="宋体" w:cs="宋体"/>
          <w:color w:val="auto"/>
          <w:kern w:val="0"/>
          <w:highlight w:val="none"/>
          <w:u w:val="single"/>
        </w:rPr>
        <w:t xml:space="preserve">   </w:t>
      </w:r>
      <w:r>
        <w:rPr>
          <w:rFonts w:hint="eastAsia" w:ascii="宋体" w:hAnsi="宋体" w:cs="宋体"/>
          <w:color w:val="auto"/>
          <w:kern w:val="0"/>
          <w:highlight w:val="none"/>
        </w:rPr>
        <w:t>立交</w:t>
      </w:r>
      <w:r>
        <w:rPr>
          <w:rFonts w:ascii="宋体" w:hAnsi="宋体" w:cs="宋体"/>
          <w:color w:val="auto"/>
          <w:kern w:val="0"/>
          <w:highlight w:val="none"/>
          <w:u w:val="single"/>
        </w:rPr>
        <w:t xml:space="preserve">   </w:t>
      </w:r>
      <w:r>
        <w:rPr>
          <w:rFonts w:hint="eastAsia" w:ascii="宋体" w:hAnsi="宋体" w:cs="宋体"/>
          <w:color w:val="auto"/>
          <w:kern w:val="0"/>
          <w:highlight w:val="none"/>
        </w:rPr>
        <w:t>处；特大桥</w:t>
      </w:r>
      <w:r>
        <w:rPr>
          <w:rFonts w:ascii="宋体" w:hAnsi="宋体" w:cs="宋体"/>
          <w:color w:val="auto"/>
          <w:kern w:val="0"/>
          <w:highlight w:val="none"/>
          <w:u w:val="single"/>
        </w:rPr>
        <w:t xml:space="preserve">    </w:t>
      </w:r>
      <w:r>
        <w:rPr>
          <w:rFonts w:hint="eastAsia" w:ascii="宋体" w:hAnsi="宋体" w:cs="宋体"/>
          <w:color w:val="auto"/>
          <w:kern w:val="0"/>
          <w:highlight w:val="none"/>
        </w:rPr>
        <w:t>座，计长</w:t>
      </w:r>
      <w:r>
        <w:rPr>
          <w:rFonts w:ascii="宋体" w:hAnsi="宋体" w:cs="宋体"/>
          <w:color w:val="auto"/>
          <w:kern w:val="0"/>
          <w:highlight w:val="none"/>
          <w:u w:val="single"/>
        </w:rPr>
        <w:t xml:space="preserve">   </w:t>
      </w:r>
      <w:r>
        <w:rPr>
          <w:rFonts w:ascii="宋体" w:hAnsi="宋体" w:cs="宋体"/>
          <w:color w:val="auto"/>
          <w:kern w:val="0"/>
          <w:highlight w:val="none"/>
        </w:rPr>
        <w:t>m</w:t>
      </w:r>
      <w:r>
        <w:rPr>
          <w:rFonts w:hint="eastAsia" w:ascii="宋体" w:hAnsi="宋体" w:cs="宋体"/>
          <w:color w:val="auto"/>
          <w:kern w:val="0"/>
          <w:highlight w:val="none"/>
        </w:rPr>
        <w:t>；大中桥</w:t>
      </w:r>
      <w:r>
        <w:rPr>
          <w:rFonts w:ascii="宋体" w:hAnsi="宋体" w:cs="宋体"/>
          <w:color w:val="auto"/>
          <w:kern w:val="0"/>
          <w:highlight w:val="none"/>
          <w:u w:val="single"/>
        </w:rPr>
        <w:t xml:space="preserve">   </w:t>
      </w:r>
      <w:r>
        <w:rPr>
          <w:rFonts w:hint="eastAsia" w:ascii="宋体" w:hAnsi="宋体" w:cs="宋体"/>
          <w:color w:val="auto"/>
          <w:kern w:val="0"/>
          <w:highlight w:val="none"/>
        </w:rPr>
        <w:t>座，计长</w:t>
      </w:r>
      <w:r>
        <w:rPr>
          <w:rFonts w:ascii="宋体" w:hAnsi="宋体" w:cs="宋体"/>
          <w:color w:val="auto"/>
          <w:kern w:val="0"/>
          <w:highlight w:val="none"/>
          <w:u w:val="single"/>
        </w:rPr>
        <w:t xml:space="preserve">   </w:t>
      </w:r>
      <w:r>
        <w:rPr>
          <w:rFonts w:ascii="宋体" w:hAnsi="宋体" w:cs="宋体"/>
          <w:color w:val="auto"/>
          <w:kern w:val="0"/>
          <w:highlight w:val="none"/>
        </w:rPr>
        <w:t>m</w:t>
      </w:r>
      <w:r>
        <w:rPr>
          <w:rFonts w:hint="eastAsia" w:ascii="宋体" w:hAnsi="宋体" w:cs="宋体"/>
          <w:color w:val="auto"/>
          <w:kern w:val="0"/>
          <w:highlight w:val="none"/>
        </w:rPr>
        <w:t>；隧道</w:t>
      </w:r>
      <w:r>
        <w:rPr>
          <w:rFonts w:ascii="宋体" w:hAnsi="宋体" w:cs="宋体"/>
          <w:color w:val="auto"/>
          <w:kern w:val="0"/>
          <w:highlight w:val="none"/>
          <w:u w:val="single"/>
        </w:rPr>
        <w:t xml:space="preserve">   </w:t>
      </w:r>
      <w:r>
        <w:rPr>
          <w:rFonts w:hint="eastAsia" w:ascii="宋体" w:hAnsi="宋体" w:cs="宋体"/>
          <w:color w:val="auto"/>
          <w:kern w:val="0"/>
          <w:highlight w:val="none"/>
        </w:rPr>
        <w:t>座，计长</w:t>
      </w:r>
      <w:r>
        <w:rPr>
          <w:rFonts w:ascii="宋体" w:hAnsi="宋体" w:cs="宋体"/>
          <w:color w:val="auto"/>
          <w:kern w:val="0"/>
          <w:highlight w:val="none"/>
          <w:u w:val="single"/>
        </w:rPr>
        <w:t xml:space="preserve">   </w:t>
      </w:r>
      <w:r>
        <w:rPr>
          <w:rFonts w:hint="eastAsia" w:ascii="宋体" w:hAnsi="宋体" w:cs="宋体"/>
          <w:color w:val="auto"/>
          <w:kern w:val="0"/>
          <w:highlight w:val="none"/>
        </w:rPr>
        <w:t>m以及其他构造物工程等。</w:t>
      </w:r>
    </w:p>
    <w:p w14:paraId="1C0B3FFB">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2.</w:t>
      </w:r>
      <w:r>
        <w:rPr>
          <w:color w:val="auto"/>
          <w:sz w:val="23"/>
          <w:highlight w:val="none"/>
        </w:rPr>
        <w:t>下列文件应视为构成合同文件的组成部分</w:t>
      </w:r>
      <w:r>
        <w:rPr>
          <w:rFonts w:hint="eastAsia" w:ascii="宋体" w:hAnsi="宋体" w:cs="宋体"/>
          <w:color w:val="auto"/>
          <w:kern w:val="0"/>
          <w:highlight w:val="none"/>
        </w:rPr>
        <w:t>：</w:t>
      </w:r>
    </w:p>
    <w:p w14:paraId="5858F518">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w:t>
      </w:r>
      <w:r>
        <w:rPr>
          <w:rFonts w:ascii="宋体" w:hAnsi="宋体" w:cs="宋体"/>
          <w:color w:val="auto"/>
          <w:kern w:val="0"/>
          <w:highlight w:val="none"/>
        </w:rPr>
        <w:t>1</w:t>
      </w:r>
      <w:r>
        <w:rPr>
          <w:rFonts w:hint="eastAsia" w:ascii="宋体" w:hAnsi="宋体" w:cs="宋体"/>
          <w:color w:val="auto"/>
          <w:kern w:val="0"/>
          <w:highlight w:val="none"/>
        </w:rPr>
        <w:t>）</w:t>
      </w:r>
      <w:r>
        <w:rPr>
          <w:rFonts w:ascii="宋体" w:hAnsi="宋体" w:cs="宋体"/>
          <w:color w:val="auto"/>
          <w:kern w:val="0"/>
          <w:highlight w:val="none"/>
        </w:rPr>
        <w:t>本合同协议书及各种合同附件（含评标期间和合同谈判过程中的澄清文件和补充资料；设计人提交的经发包人审核通过的</w:t>
      </w:r>
      <w:r>
        <w:rPr>
          <w:rFonts w:hint="eastAsia" w:ascii="宋体" w:hAnsi="宋体" w:cs="宋体"/>
          <w:color w:val="auto"/>
          <w:kern w:val="0"/>
          <w:highlight w:val="none"/>
        </w:rPr>
        <w:t>设计</w:t>
      </w:r>
      <w:r>
        <w:rPr>
          <w:rFonts w:ascii="宋体" w:hAnsi="宋体" w:cs="宋体"/>
          <w:color w:val="auto"/>
          <w:kern w:val="0"/>
          <w:highlight w:val="none"/>
        </w:rPr>
        <w:t>详细工作大纲及进度计划等）</w:t>
      </w:r>
      <w:r>
        <w:rPr>
          <w:rFonts w:hint="eastAsia" w:ascii="宋体" w:hAnsi="宋体" w:cs="宋体"/>
          <w:color w:val="auto"/>
          <w:kern w:val="0"/>
          <w:highlight w:val="none"/>
        </w:rPr>
        <w:t>；</w:t>
      </w:r>
    </w:p>
    <w:p w14:paraId="02B2CF1F">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（2）中包通知书；</w:t>
      </w:r>
    </w:p>
    <w:p w14:paraId="46B4BA54">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（3）竞包函；</w:t>
      </w:r>
    </w:p>
    <w:p w14:paraId="16CC0F5A">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（4）专用合同条款；</w:t>
      </w:r>
    </w:p>
    <w:p w14:paraId="348CAFE4">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（5）通用合同条款；</w:t>
      </w:r>
    </w:p>
    <w:p w14:paraId="60FDE7A4">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（6）发包人要求；</w:t>
      </w:r>
    </w:p>
    <w:p w14:paraId="599E2866">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（7）设计费用清单；</w:t>
      </w:r>
    </w:p>
    <w:p w14:paraId="554E7B0C">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（8）设计人有关人员投入的承诺；</w:t>
      </w:r>
    </w:p>
    <w:p w14:paraId="448B2F71">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（9）其他合同文件。</w:t>
      </w:r>
    </w:p>
    <w:p w14:paraId="5B1B7310">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上述合同文件互相补充和解释。如果合同文件之间存在矛盾或不一致之处，以上述文件的排列顺序在先者为准。</w:t>
      </w:r>
    </w:p>
    <w:p w14:paraId="4DF3F3D1">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3.签约合同价：人民币（大写）</w:t>
      </w:r>
      <w:r>
        <w:rPr>
          <w:rFonts w:ascii="宋体" w:hAnsi="宋体" w:cs="宋体"/>
          <w:color w:val="auto"/>
          <w:kern w:val="0"/>
          <w:highlight w:val="none"/>
          <w:u w:val="single"/>
        </w:rPr>
        <w:t xml:space="preserve">         </w:t>
      </w:r>
      <w:r>
        <w:rPr>
          <w:rFonts w:hint="eastAsia" w:ascii="宋体" w:hAnsi="宋体" w:cs="宋体"/>
          <w:color w:val="auto"/>
          <w:kern w:val="0"/>
          <w:highlight w:val="none"/>
        </w:rPr>
        <w:t>元（¥</w:t>
      </w:r>
      <w:r>
        <w:rPr>
          <w:rFonts w:ascii="宋体" w:hAnsi="宋体" w:cs="宋体"/>
          <w:color w:val="auto"/>
          <w:kern w:val="0"/>
          <w:highlight w:val="none"/>
          <w:u w:val="single"/>
        </w:rPr>
        <w:t xml:space="preserve">        </w:t>
      </w:r>
      <w:r>
        <w:rPr>
          <w:rFonts w:hint="eastAsia" w:ascii="宋体" w:hAnsi="宋体" w:cs="宋体"/>
          <w:color w:val="auto"/>
          <w:kern w:val="0"/>
          <w:highlight w:val="none"/>
        </w:rPr>
        <w:t>元）。</w:t>
      </w:r>
    </w:p>
    <w:p w14:paraId="3AC06E12">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4.项目负责人：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w:t>
      </w:r>
    </w:p>
    <w:p w14:paraId="1B4B56D7">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5.设计</w:t>
      </w:r>
      <w:r>
        <w:rPr>
          <w:rFonts w:ascii="宋体" w:hAnsi="宋体" w:cs="宋体"/>
          <w:color w:val="auto"/>
          <w:kern w:val="0"/>
          <w:highlight w:val="none"/>
        </w:rPr>
        <w:t>工作质量符合的标准和要求</w:t>
      </w:r>
      <w:r>
        <w:rPr>
          <w:rFonts w:hint="eastAsia" w:ascii="宋体" w:hAnsi="宋体" w:cs="宋体"/>
          <w:color w:val="auto"/>
          <w:kern w:val="0"/>
          <w:highlight w:val="none"/>
        </w:rPr>
        <w:t>：</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；安全目标：</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w:t>
      </w:r>
    </w:p>
    <w:p w14:paraId="2AF73DC2">
      <w:pPr>
        <w:pStyle w:val="14"/>
        <w:spacing w:line="400" w:lineRule="exact"/>
        <w:ind w:left="0" w:firstLine="420" w:firstLineChars="200"/>
        <w:jc w:val="left"/>
        <w:rPr>
          <w:color w:val="auto"/>
          <w:kern w:val="0"/>
          <w:szCs w:val="21"/>
          <w:highlight w:val="none"/>
        </w:rPr>
      </w:pPr>
      <w:r>
        <w:rPr>
          <w:rFonts w:hint="eastAsia" w:ascii="宋体" w:hAnsi="宋体" w:cs="宋体"/>
          <w:color w:val="auto"/>
          <w:kern w:val="0"/>
          <w:szCs w:val="21"/>
          <w:highlight w:val="none"/>
        </w:rPr>
        <w:t>6.</w:t>
      </w:r>
      <w:r>
        <w:rPr>
          <w:color w:val="auto"/>
          <w:spacing w:val="-16"/>
          <w:szCs w:val="21"/>
          <w:highlight w:val="none"/>
        </w:rPr>
        <w:t>设 计 人 承 诺 按 合 同 约 定 承 担 工 程 的 勘 察 设 计 工 作 ， 包括</w:t>
      </w:r>
      <w:r>
        <w:rPr>
          <w:rFonts w:hint="eastAsia"/>
          <w:color w:val="auto"/>
          <w:spacing w:val="-16"/>
          <w:szCs w:val="21"/>
          <w:highlight w:val="none"/>
          <w:u w:val="single"/>
        </w:rPr>
        <w:t xml:space="preserve">                                  </w:t>
      </w:r>
      <w:r>
        <w:rPr>
          <w:rFonts w:hint="eastAsia" w:ascii="宋体" w:hAnsi="宋体" w:cs="宋体"/>
          <w:color w:val="auto"/>
          <w:kern w:val="0"/>
          <w:szCs w:val="21"/>
          <w:highlight w:val="none"/>
        </w:rPr>
        <w:t>。</w:t>
      </w:r>
      <w:r>
        <w:rPr>
          <w:rFonts w:ascii="宋体" w:hAnsi="宋体" w:cs="宋体"/>
          <w:color w:val="auto"/>
          <w:kern w:val="0"/>
          <w:szCs w:val="21"/>
          <w:highlight w:val="none"/>
        </w:rPr>
        <w:t xml:space="preserve"> </w:t>
      </w:r>
    </w:p>
    <w:p w14:paraId="1E512514">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7.</w:t>
      </w:r>
      <w:r>
        <w:rPr>
          <w:rFonts w:ascii="宋体" w:hAnsi="宋体" w:cs="宋体"/>
          <w:color w:val="auto"/>
          <w:kern w:val="0"/>
          <w:highlight w:val="none"/>
        </w:rPr>
        <w:t>发包人承诺按合同约定的条件、时间和方式向设计人支付合同价款</w:t>
      </w:r>
      <w:r>
        <w:rPr>
          <w:rFonts w:hint="eastAsia" w:ascii="宋体" w:hAnsi="宋体" w:cs="宋体"/>
          <w:color w:val="auto"/>
          <w:kern w:val="0"/>
          <w:highlight w:val="none"/>
        </w:rPr>
        <w:t>。</w:t>
      </w:r>
    </w:p>
    <w:p w14:paraId="66B2E965">
      <w:pPr>
        <w:pStyle w:val="14"/>
        <w:spacing w:line="400" w:lineRule="exact"/>
        <w:ind w:left="0" w:firstLine="420" w:firstLineChars="200"/>
        <w:jc w:val="left"/>
        <w:rPr>
          <w:color w:val="auto"/>
          <w:w w:val="105"/>
          <w:highlight w:val="none"/>
        </w:rPr>
      </w:pPr>
      <w:r>
        <w:rPr>
          <w:rFonts w:hint="eastAsia" w:ascii="宋体" w:hAnsi="宋体" w:cs="宋体"/>
          <w:color w:val="auto"/>
          <w:kern w:val="0"/>
          <w:highlight w:val="none"/>
        </w:rPr>
        <w:t>8.设计人</w:t>
      </w:r>
      <w:r>
        <w:rPr>
          <w:rFonts w:ascii="宋体" w:hAnsi="宋体" w:cs="宋体"/>
          <w:color w:val="auto"/>
          <w:kern w:val="0"/>
          <w:highlight w:val="none"/>
        </w:rPr>
        <w:t>计划开始</w:t>
      </w:r>
      <w:r>
        <w:rPr>
          <w:rFonts w:hint="eastAsia" w:ascii="宋体" w:hAnsi="宋体" w:cs="宋体"/>
          <w:color w:val="auto"/>
          <w:kern w:val="0"/>
          <w:highlight w:val="none"/>
        </w:rPr>
        <w:t>设计</w:t>
      </w:r>
      <w:r>
        <w:rPr>
          <w:rFonts w:ascii="宋体" w:hAnsi="宋体" w:cs="宋体"/>
          <w:color w:val="auto"/>
          <w:kern w:val="0"/>
          <w:highlight w:val="none"/>
        </w:rPr>
        <w:t>日期</w:t>
      </w:r>
      <w:r>
        <w:rPr>
          <w:rFonts w:hint="eastAsia"/>
          <w:color w:val="auto"/>
          <w:sz w:val="23"/>
          <w:highlight w:val="none"/>
        </w:rPr>
        <w:t>：</w:t>
      </w:r>
      <w:r>
        <w:rPr>
          <w:rFonts w:hint="eastAsia"/>
          <w:color w:val="auto"/>
          <w:sz w:val="23"/>
          <w:highlight w:val="none"/>
          <w:u w:val="single"/>
        </w:rPr>
        <w:t xml:space="preserve">               </w:t>
      </w:r>
      <w:r>
        <w:rPr>
          <w:rFonts w:hint="eastAsia"/>
          <w:color w:val="auto"/>
          <w:sz w:val="23"/>
          <w:highlight w:val="none"/>
        </w:rPr>
        <w:t>，</w:t>
      </w:r>
      <w:r>
        <w:rPr>
          <w:rFonts w:ascii="宋体" w:hAnsi="宋体" w:cs="宋体"/>
          <w:color w:val="auto"/>
          <w:kern w:val="0"/>
          <w:highlight w:val="none"/>
        </w:rPr>
        <w:t>实际日期按照发包人在开始</w:t>
      </w:r>
      <w:r>
        <w:rPr>
          <w:rFonts w:hint="eastAsia" w:ascii="宋体" w:hAnsi="宋体" w:cs="宋体"/>
          <w:color w:val="auto"/>
          <w:kern w:val="0"/>
          <w:highlight w:val="none"/>
        </w:rPr>
        <w:t>设计</w:t>
      </w:r>
      <w:r>
        <w:rPr>
          <w:rFonts w:ascii="宋体" w:hAnsi="宋体" w:cs="宋体"/>
          <w:color w:val="auto"/>
          <w:kern w:val="0"/>
          <w:highlight w:val="none"/>
        </w:rPr>
        <w:t>通知中载明的开始</w:t>
      </w:r>
      <w:r>
        <w:rPr>
          <w:rFonts w:hint="eastAsia" w:ascii="宋体" w:hAnsi="宋体" w:cs="宋体"/>
          <w:color w:val="auto"/>
          <w:kern w:val="0"/>
          <w:highlight w:val="none"/>
        </w:rPr>
        <w:t>设计</w:t>
      </w:r>
      <w:r>
        <w:rPr>
          <w:rFonts w:ascii="宋体" w:hAnsi="宋体" w:cs="宋体"/>
          <w:color w:val="auto"/>
          <w:kern w:val="0"/>
          <w:highlight w:val="none"/>
        </w:rPr>
        <w:t>日期为准。</w:t>
      </w:r>
      <w:r>
        <w:rPr>
          <w:rFonts w:hint="eastAsia" w:ascii="宋体" w:hAnsi="宋体" w:cs="宋体"/>
          <w:color w:val="auto"/>
          <w:kern w:val="0"/>
          <w:highlight w:val="none"/>
        </w:rPr>
        <w:t>设计</w:t>
      </w:r>
      <w:r>
        <w:rPr>
          <w:rFonts w:ascii="宋体" w:hAnsi="宋体" w:cs="宋体"/>
          <w:color w:val="auto"/>
          <w:kern w:val="0"/>
          <w:highlight w:val="none"/>
        </w:rPr>
        <w:t>服务期限为</w:t>
      </w:r>
      <w:r>
        <w:rPr>
          <w:rFonts w:hint="eastAsia"/>
          <w:color w:val="auto"/>
          <w:w w:val="105"/>
          <w:highlight w:val="none"/>
          <w:u w:val="single"/>
        </w:rPr>
        <w:t xml:space="preserve">   </w:t>
      </w:r>
      <w:r>
        <w:rPr>
          <w:color w:val="auto"/>
          <w:w w:val="105"/>
          <w:highlight w:val="none"/>
        </w:rPr>
        <w:t>天</w:t>
      </w:r>
      <w:r>
        <w:rPr>
          <w:rFonts w:hint="eastAsia"/>
          <w:color w:val="auto"/>
          <w:w w:val="105"/>
          <w:highlight w:val="none"/>
        </w:rPr>
        <w:t>。</w:t>
      </w:r>
    </w:p>
    <w:p w14:paraId="4475E681">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9.</w:t>
      </w:r>
      <w:r>
        <w:rPr>
          <w:rFonts w:ascii="宋体" w:hAnsi="宋体" w:cs="宋体"/>
          <w:color w:val="auto"/>
          <w:kern w:val="0"/>
          <w:highlight w:val="none"/>
        </w:rPr>
        <w:t>本协议书在设计人提供履约保证金后</w:t>
      </w:r>
      <w:r>
        <w:rPr>
          <w:rFonts w:hint="eastAsia" w:ascii="宋体" w:hAnsi="宋体" w:cs="宋体"/>
          <w:color w:val="auto"/>
          <w:kern w:val="0"/>
          <w:highlight w:val="none"/>
        </w:rPr>
        <w:t>，</w:t>
      </w:r>
      <w:r>
        <w:rPr>
          <w:rFonts w:ascii="宋体" w:hAnsi="宋体" w:cs="宋体"/>
          <w:color w:val="auto"/>
          <w:kern w:val="0"/>
          <w:highlight w:val="none"/>
        </w:rPr>
        <w:t>由双方法定代表人或其委托代理人签署并加盖单位章后生效。设计人完成全部</w:t>
      </w:r>
      <w:r>
        <w:rPr>
          <w:rFonts w:hint="eastAsia" w:ascii="宋体" w:hAnsi="宋体" w:cs="宋体"/>
          <w:color w:val="auto"/>
          <w:kern w:val="0"/>
          <w:highlight w:val="none"/>
        </w:rPr>
        <w:t>设计</w:t>
      </w:r>
      <w:r>
        <w:rPr>
          <w:rFonts w:ascii="宋体" w:hAnsi="宋体" w:cs="宋体"/>
          <w:color w:val="auto"/>
          <w:kern w:val="0"/>
          <w:highlight w:val="none"/>
        </w:rPr>
        <w:t>工作且</w:t>
      </w:r>
      <w:r>
        <w:rPr>
          <w:rFonts w:hint="eastAsia" w:ascii="宋体" w:hAnsi="宋体" w:cs="宋体"/>
          <w:color w:val="auto"/>
          <w:kern w:val="0"/>
          <w:highlight w:val="none"/>
        </w:rPr>
        <w:t>设计</w:t>
      </w:r>
      <w:r>
        <w:rPr>
          <w:rFonts w:ascii="宋体" w:hAnsi="宋体" w:cs="宋体"/>
          <w:color w:val="auto"/>
          <w:kern w:val="0"/>
          <w:highlight w:val="none"/>
        </w:rPr>
        <w:t>费用结清后失效</w:t>
      </w:r>
      <w:r>
        <w:rPr>
          <w:rFonts w:hint="eastAsia" w:ascii="宋体" w:hAnsi="宋体" w:cs="宋体"/>
          <w:color w:val="auto"/>
          <w:kern w:val="0"/>
          <w:highlight w:val="none"/>
        </w:rPr>
        <w:t>。</w:t>
      </w:r>
    </w:p>
    <w:p w14:paraId="5B01468D">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10.本合同协议书正本二份、副本</w:t>
      </w:r>
      <w:r>
        <w:rPr>
          <w:rFonts w:ascii="宋体" w:hAnsi="宋体" w:cs="宋体"/>
          <w:color w:val="auto"/>
          <w:kern w:val="0"/>
          <w:highlight w:val="none"/>
          <w:u w:val="single"/>
        </w:rPr>
        <w:t xml:space="preserve">   </w:t>
      </w:r>
      <w:r>
        <w:rPr>
          <w:rFonts w:hint="eastAsia" w:ascii="宋体" w:hAnsi="宋体" w:cs="宋体"/>
          <w:color w:val="auto"/>
          <w:kern w:val="0"/>
          <w:highlight w:val="none"/>
        </w:rPr>
        <w:t>份，合同双方各执正本一份，副本</w:t>
      </w:r>
      <w:r>
        <w:rPr>
          <w:rFonts w:ascii="宋体" w:hAnsi="宋体" w:cs="宋体"/>
          <w:color w:val="auto"/>
          <w:kern w:val="0"/>
          <w:highlight w:val="none"/>
          <w:u w:val="single"/>
        </w:rPr>
        <w:t xml:space="preserve">   </w:t>
      </w:r>
      <w:r>
        <w:rPr>
          <w:rFonts w:hint="eastAsia" w:ascii="宋体" w:hAnsi="宋体" w:cs="宋体"/>
          <w:color w:val="auto"/>
          <w:kern w:val="0"/>
          <w:highlight w:val="none"/>
        </w:rPr>
        <w:t>份，当正本与副本的内容不一致时，以正本为准。</w:t>
      </w:r>
    </w:p>
    <w:p w14:paraId="4E8935C4">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11.合同未尽事宜，双方另行签订补充协议。补充协议是合同的组成部分。</w:t>
      </w:r>
      <w:r>
        <w:rPr>
          <w:rFonts w:ascii="宋体" w:hAnsi="宋体" w:cs="宋体"/>
          <w:color w:val="auto"/>
          <w:kern w:val="0"/>
          <w:highlight w:val="none"/>
        </w:rPr>
        <w:t xml:space="preserve"> </w:t>
      </w:r>
    </w:p>
    <w:p w14:paraId="78A035E5">
      <w:pPr>
        <w:pStyle w:val="14"/>
        <w:spacing w:line="400" w:lineRule="exact"/>
        <w:jc w:val="left"/>
        <w:rPr>
          <w:color w:val="auto"/>
          <w:kern w:val="0"/>
          <w:highlight w:val="none"/>
        </w:rPr>
      </w:pPr>
    </w:p>
    <w:p w14:paraId="779AD14F">
      <w:pPr>
        <w:pStyle w:val="14"/>
        <w:spacing w:line="400" w:lineRule="exact"/>
        <w:jc w:val="left"/>
        <w:rPr>
          <w:color w:val="auto"/>
          <w:kern w:val="0"/>
          <w:highlight w:val="none"/>
        </w:rPr>
      </w:pPr>
      <w:r>
        <w:rPr>
          <w:rFonts w:hint="eastAsia" w:ascii="宋体" w:hAnsi="宋体" w:cs="宋体"/>
          <w:color w:val="auto"/>
          <w:kern w:val="0"/>
          <w:highlight w:val="none"/>
        </w:rPr>
        <w:t>发包人：</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（盖单位章）</w:t>
      </w:r>
      <w:r>
        <w:rPr>
          <w:rFonts w:ascii="宋体" w:hAnsi="宋体" w:cs="宋体"/>
          <w:color w:val="auto"/>
          <w:kern w:val="0"/>
          <w:highlight w:val="none"/>
        </w:rPr>
        <w:t xml:space="preserve">   </w:t>
      </w:r>
      <w:r>
        <w:rPr>
          <w:rFonts w:hint="eastAsia" w:ascii="宋体" w:hAnsi="宋体" w:cs="宋体"/>
          <w:color w:val="auto"/>
          <w:kern w:val="0"/>
          <w:highlight w:val="none"/>
        </w:rPr>
        <w:t xml:space="preserve">   设计人：</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（盖单位章）</w:t>
      </w:r>
      <w:r>
        <w:rPr>
          <w:rFonts w:ascii="宋体" w:hAnsi="宋体" w:cs="宋体"/>
          <w:color w:val="auto"/>
          <w:kern w:val="0"/>
          <w:highlight w:val="none"/>
        </w:rPr>
        <w:t xml:space="preserve">  </w:t>
      </w:r>
    </w:p>
    <w:p w14:paraId="7A013FA1">
      <w:pPr>
        <w:pStyle w:val="14"/>
        <w:spacing w:line="400" w:lineRule="exact"/>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ascii="宋体" w:hAnsi="宋体" w:cs="宋体"/>
          <w:color w:val="auto"/>
          <w:kern w:val="0"/>
          <w:highlight w:val="non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（签字）  法定代表人或其委托代理人：</w:t>
      </w:r>
      <w:r>
        <w:rPr>
          <w:rFonts w:ascii="宋体" w:hAnsi="宋体" w:cs="宋体"/>
          <w:color w:val="auto"/>
          <w:kern w:val="0"/>
          <w:highlight w:val="non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（签字）</w:t>
      </w:r>
      <w:r>
        <w:rPr>
          <w:rFonts w:ascii="宋体" w:hAnsi="宋体" w:cs="宋体"/>
          <w:color w:val="auto"/>
          <w:kern w:val="0"/>
          <w:highlight w:val="none"/>
        </w:rPr>
        <w:t xml:space="preserve"> </w:t>
      </w:r>
    </w:p>
    <w:p w14:paraId="4F841306">
      <w:pPr>
        <w:pStyle w:val="14"/>
        <w:spacing w:line="400" w:lineRule="exact"/>
        <w:ind w:firstLine="1050" w:firstLineChars="500"/>
        <w:jc w:val="left"/>
        <w:rPr>
          <w:rFonts w:ascii="宋体" w:hAnsi="宋体" w:cs="宋体"/>
          <w:color w:val="auto"/>
          <w:kern w:val="0"/>
          <w:highlight w:val="none"/>
          <w:u w:val="single"/>
        </w:rPr>
      </w:pP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日 </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日 </w:t>
      </w:r>
      <w:r>
        <w:rPr>
          <w:rFonts w:ascii="宋体" w:hAnsi="宋体" w:cs="宋体"/>
          <w:color w:val="auto"/>
          <w:kern w:val="0"/>
          <w:highlight w:val="none"/>
        </w:rPr>
        <w:t xml:space="preserve">     </w:t>
      </w:r>
      <w:r>
        <w:rPr>
          <w:rFonts w:hint="eastAsia" w:ascii="宋体" w:hAnsi="宋体" w:cs="宋体"/>
          <w:color w:val="auto"/>
          <w:kern w:val="0"/>
          <w:highlight w:val="none"/>
        </w:rPr>
        <w:t xml:space="preserve">  </w:t>
      </w:r>
    </w:p>
    <w:p w14:paraId="07408A74">
      <w:pPr>
        <w:pStyle w:val="62"/>
        <w:rPr>
          <w:rFonts w:ascii="黑体" w:hAnsi="黑体"/>
          <w:color w:val="auto"/>
          <w:szCs w:val="28"/>
          <w:highlight w:val="none"/>
        </w:rPr>
      </w:pPr>
      <w:r>
        <w:rPr>
          <w:rFonts w:ascii="宋体" w:hAnsi="宋体"/>
          <w:color w:val="auto"/>
          <w:kern w:val="0"/>
          <w:highlight w:val="none"/>
        </w:rPr>
        <w:br w:type="page"/>
      </w:r>
      <w:bookmarkStart w:id="855" w:name="_Toc22177"/>
      <w:bookmarkStart w:id="856" w:name="_Toc23588"/>
      <w:bookmarkStart w:id="857" w:name="_Toc15419"/>
      <w:bookmarkStart w:id="858" w:name="_Toc7199"/>
      <w:bookmarkStart w:id="859" w:name="_Toc31903"/>
      <w:bookmarkStart w:id="860" w:name="_Toc13969"/>
      <w:r>
        <w:rPr>
          <w:rFonts w:hint="eastAsia" w:ascii="黑体" w:hAnsi="黑体"/>
          <w:color w:val="auto"/>
          <w:szCs w:val="28"/>
          <w:highlight w:val="none"/>
        </w:rPr>
        <w:t>附件二 廉政合同</w:t>
      </w:r>
      <w:bookmarkEnd w:id="855"/>
      <w:bookmarkEnd w:id="856"/>
      <w:bookmarkEnd w:id="857"/>
      <w:bookmarkEnd w:id="858"/>
      <w:bookmarkEnd w:id="859"/>
      <w:bookmarkEnd w:id="860"/>
      <w:r>
        <w:rPr>
          <w:rFonts w:hint="eastAsia" w:ascii="黑体" w:hAnsi="黑体"/>
          <w:color w:val="auto"/>
          <w:szCs w:val="28"/>
          <w:highlight w:val="none"/>
        </w:rPr>
        <w:t xml:space="preserve"> </w:t>
      </w:r>
    </w:p>
    <w:p w14:paraId="5F1BC62E">
      <w:pPr>
        <w:pStyle w:val="14"/>
        <w:jc w:val="center"/>
        <w:rPr>
          <w:rFonts w:ascii="黑体" w:hAnsi="黑体" w:eastAsia="黑体"/>
          <w:color w:val="auto"/>
          <w:kern w:val="0"/>
          <w:sz w:val="32"/>
          <w:szCs w:val="32"/>
          <w:highlight w:val="none"/>
        </w:rPr>
      </w:pPr>
      <w:r>
        <w:rPr>
          <w:rFonts w:hint="eastAsia" w:ascii="黑体" w:hAnsi="黑体" w:eastAsia="黑体" w:cs="宋体"/>
          <w:color w:val="auto"/>
          <w:kern w:val="0"/>
          <w:sz w:val="32"/>
          <w:szCs w:val="32"/>
          <w:highlight w:val="none"/>
        </w:rPr>
        <w:t>廉政合同</w:t>
      </w:r>
    </w:p>
    <w:p w14:paraId="596B60B2">
      <w:pPr>
        <w:pStyle w:val="14"/>
        <w:jc w:val="left"/>
        <w:rPr>
          <w:color w:val="auto"/>
          <w:kern w:val="0"/>
          <w:highlight w:val="none"/>
        </w:rPr>
      </w:pPr>
    </w:p>
    <w:p w14:paraId="15B15917">
      <w:pPr>
        <w:pStyle w:val="14"/>
        <w:spacing w:line="400" w:lineRule="exact"/>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（项目名称）的项目法人</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w:t>
      </w:r>
      <w:r>
        <w:rPr>
          <w:rFonts w:hint="eastAsia" w:ascii="宋体" w:hAnsi="宋体" w:cs="宋体"/>
          <w:color w:val="auto"/>
          <w:kern w:val="0"/>
          <w:szCs w:val="21"/>
          <w:highlight w:val="none"/>
        </w:rPr>
        <w:t>项目法人名称，以下简称“发包人”</w:t>
      </w:r>
      <w:r>
        <w:rPr>
          <w:rFonts w:ascii="宋体" w:hAnsi="宋体" w:cs="宋体"/>
          <w:color w:val="auto"/>
          <w:kern w:val="0"/>
          <w:szCs w:val="21"/>
          <w:highlight w:val="none"/>
        </w:rPr>
        <w:t>)</w:t>
      </w:r>
      <w:r>
        <w:rPr>
          <w:rFonts w:hint="eastAsia" w:ascii="宋体" w:hAnsi="宋体" w:cs="宋体"/>
          <w:color w:val="auto"/>
          <w:kern w:val="0"/>
          <w:szCs w:val="21"/>
          <w:highlight w:val="none"/>
        </w:rPr>
        <w:t>与该项目第</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标段的设计单位</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设计单位名称，以下简称“设计人”</w:t>
      </w:r>
      <w:r>
        <w:rPr>
          <w:rFonts w:ascii="宋体" w:hAnsi="宋体" w:cs="宋体"/>
          <w:color w:val="auto"/>
          <w:kern w:val="0"/>
          <w:szCs w:val="21"/>
          <w:highlight w:val="none"/>
        </w:rPr>
        <w:t>)</w:t>
      </w:r>
      <w:r>
        <w:rPr>
          <w:rFonts w:hint="eastAsia" w:ascii="宋体" w:hAnsi="宋体" w:cs="宋体"/>
          <w:color w:val="auto"/>
          <w:kern w:val="0"/>
          <w:szCs w:val="21"/>
          <w:highlight w:val="none"/>
        </w:rPr>
        <w:t>，特订立如下合同。</w:t>
      </w:r>
    </w:p>
    <w:p w14:paraId="0084E019">
      <w:pPr>
        <w:pStyle w:val="14"/>
        <w:spacing w:line="400" w:lineRule="exact"/>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1.</w:t>
      </w:r>
      <w:r>
        <w:rPr>
          <w:color w:val="auto"/>
          <w:szCs w:val="21"/>
          <w:highlight w:val="none"/>
        </w:rPr>
        <w:t>发包人和设计人双方的权利和义务</w:t>
      </w:r>
    </w:p>
    <w:p w14:paraId="37FF6153">
      <w:pPr>
        <w:pStyle w:val="14"/>
        <w:spacing w:line="400" w:lineRule="exact"/>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（1）严格遵守党的政策规定和国家有关法律法规及交通运输部和浙江省交通运输厅的有关规定。</w:t>
      </w:r>
    </w:p>
    <w:p w14:paraId="22C1FC9F">
      <w:pPr>
        <w:pStyle w:val="14"/>
        <w:spacing w:line="400" w:lineRule="exact"/>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（2）严格执行</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（项目名称）第</w:t>
      </w:r>
      <w:r>
        <w:rPr>
          <w:rFonts w:ascii="宋体" w:hAnsi="宋体" w:cs="宋体"/>
          <w:color w:val="auto"/>
          <w:kern w:val="0"/>
          <w:szCs w:val="21"/>
          <w:highlight w:val="none"/>
          <w:u w:val="single"/>
        </w:rPr>
        <w:t xml:space="preserve">   </w:t>
      </w:r>
      <w:r>
        <w:rPr>
          <w:rFonts w:hint="eastAsia" w:ascii="宋体" w:hAnsi="宋体" w:cs="宋体"/>
          <w:color w:val="auto"/>
          <w:kern w:val="0"/>
          <w:szCs w:val="21"/>
          <w:highlight w:val="none"/>
        </w:rPr>
        <w:t>标段设计合同文件，自觉按合同办事。</w:t>
      </w:r>
    </w:p>
    <w:p w14:paraId="3D38E58A">
      <w:pPr>
        <w:pStyle w:val="14"/>
        <w:spacing w:line="400" w:lineRule="exact"/>
        <w:ind w:left="0" w:firstLine="420" w:firstLineChars="200"/>
        <w:jc w:val="left"/>
        <w:rPr>
          <w:rFonts w:ascii="宋体" w:hAnsi="宋体"/>
          <w:color w:val="auto"/>
          <w:kern w:val="0"/>
          <w:szCs w:val="21"/>
          <w:highlight w:val="none"/>
        </w:rPr>
      </w:pPr>
      <w:r>
        <w:rPr>
          <w:rFonts w:hint="eastAsia" w:ascii="宋体" w:hAnsi="宋体" w:cs="宋体"/>
          <w:color w:val="auto"/>
          <w:kern w:val="0"/>
          <w:szCs w:val="21"/>
          <w:highlight w:val="none"/>
        </w:rPr>
        <w:t>（3）双方的业务活动坚持公开、公正、诚信、透明的原则</w:t>
      </w:r>
      <w:r>
        <w:rPr>
          <w:rFonts w:ascii="宋体" w:hAnsi="宋体" w:cs="宋体"/>
          <w:color w:val="auto"/>
          <w:kern w:val="0"/>
          <w:szCs w:val="21"/>
          <w:highlight w:val="none"/>
        </w:rPr>
        <w:t>(</w:t>
      </w:r>
      <w:r>
        <w:rPr>
          <w:rFonts w:hint="eastAsia" w:ascii="宋体" w:hAnsi="宋体" w:cs="宋体"/>
          <w:color w:val="auto"/>
          <w:kern w:val="0"/>
          <w:szCs w:val="21"/>
          <w:highlight w:val="none"/>
        </w:rPr>
        <w:t>法律认定的商业秘密和合同文件另有规定除外</w:t>
      </w:r>
      <w:r>
        <w:rPr>
          <w:rFonts w:ascii="宋体" w:hAnsi="宋体" w:cs="宋体"/>
          <w:color w:val="auto"/>
          <w:kern w:val="0"/>
          <w:szCs w:val="21"/>
          <w:highlight w:val="none"/>
        </w:rPr>
        <w:t>)</w:t>
      </w:r>
      <w:r>
        <w:rPr>
          <w:rFonts w:hint="eastAsia" w:ascii="宋体" w:hAnsi="宋体" w:cs="宋体"/>
          <w:color w:val="auto"/>
          <w:kern w:val="0"/>
          <w:szCs w:val="21"/>
          <w:highlight w:val="none"/>
        </w:rPr>
        <w:t>，不得损害国家和集体利益，不得违反工程建设管理规章制度。</w:t>
      </w:r>
      <w:r>
        <w:rPr>
          <w:rFonts w:ascii="宋体" w:hAnsi="宋体" w:cs="宋体"/>
          <w:color w:val="auto"/>
          <w:kern w:val="0"/>
          <w:szCs w:val="21"/>
          <w:highlight w:val="none"/>
        </w:rPr>
        <w:t xml:space="preserve"> </w:t>
      </w:r>
    </w:p>
    <w:p w14:paraId="3CE95CF1">
      <w:pPr>
        <w:pStyle w:val="66"/>
        <w:tabs>
          <w:tab w:val="left" w:pos="2790"/>
        </w:tabs>
        <w:spacing w:line="400" w:lineRule="exact"/>
        <w:ind w:firstLine="420" w:firstLineChars="200"/>
        <w:rPr>
          <w:rFonts w:ascii="宋体" w:hAnsi="宋体"/>
          <w:color w:val="auto"/>
          <w:szCs w:val="21"/>
          <w:highlight w:val="none"/>
        </w:rPr>
      </w:pPr>
      <w:r>
        <w:rPr>
          <w:rFonts w:hint="eastAsia" w:ascii="宋体" w:hAnsi="宋体" w:cs="宋体"/>
          <w:color w:val="auto"/>
          <w:kern w:val="0"/>
          <w:szCs w:val="21"/>
          <w:highlight w:val="none"/>
        </w:rPr>
        <w:t>（4）建立健全廉政制度，开展廉政教育，设立廉政告示牌，公布举报电话，监督并认真查处违法违纪行为。</w:t>
      </w:r>
      <w:r>
        <w:rPr>
          <w:rFonts w:ascii="宋体" w:hAnsi="宋体" w:cs="宋体"/>
          <w:color w:val="auto"/>
          <w:kern w:val="0"/>
          <w:szCs w:val="21"/>
          <w:highlight w:val="none"/>
        </w:rPr>
        <w:t xml:space="preserve"> </w:t>
      </w:r>
    </w:p>
    <w:p w14:paraId="55168B97">
      <w:pPr>
        <w:pStyle w:val="66"/>
        <w:tabs>
          <w:tab w:val="left" w:pos="2790"/>
        </w:tabs>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（5）发现对方在业务活动中有违反廉政规定的行为，有及时提醒对方纠正的权利和义务。</w:t>
      </w:r>
    </w:p>
    <w:p w14:paraId="076FFF94">
      <w:pPr>
        <w:pStyle w:val="66"/>
        <w:tabs>
          <w:tab w:val="left" w:pos="2790"/>
        </w:tabs>
        <w:spacing w:line="400" w:lineRule="exact"/>
        <w:ind w:firstLine="420" w:firstLineChars="200"/>
        <w:rPr>
          <w:color w:val="auto"/>
          <w:kern w:val="0"/>
          <w:highlight w:val="none"/>
        </w:rPr>
      </w:pPr>
      <w:r>
        <w:rPr>
          <w:rFonts w:hint="eastAsia" w:ascii="宋体" w:hAnsi="宋体"/>
          <w:color w:val="auto"/>
          <w:szCs w:val="21"/>
          <w:highlight w:val="none"/>
        </w:rPr>
        <w:t>（6）发现对方严重违反本合同义务条款的行为，有向其上级有关部门举报、建议给予处理并要求告知</w:t>
      </w:r>
      <w:r>
        <w:rPr>
          <w:rFonts w:hint="eastAsia" w:ascii="宋体" w:hAnsi="宋体" w:cs="宋体"/>
          <w:color w:val="auto"/>
          <w:kern w:val="0"/>
          <w:highlight w:val="none"/>
        </w:rPr>
        <w:t>处理结果的权利。</w:t>
      </w:r>
      <w:r>
        <w:rPr>
          <w:rFonts w:ascii="宋体" w:hAnsi="宋体" w:cs="宋体"/>
          <w:color w:val="auto"/>
          <w:kern w:val="0"/>
          <w:highlight w:val="none"/>
        </w:rPr>
        <w:t xml:space="preserve"> </w:t>
      </w:r>
    </w:p>
    <w:p w14:paraId="509B4D6C">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2.发包人的义务</w:t>
      </w:r>
      <w:r>
        <w:rPr>
          <w:rFonts w:ascii="宋体" w:hAnsi="宋体" w:cs="宋体"/>
          <w:color w:val="auto"/>
          <w:kern w:val="0"/>
          <w:highlight w:val="none"/>
        </w:rPr>
        <w:t xml:space="preserve"> </w:t>
      </w:r>
    </w:p>
    <w:p w14:paraId="2C970607">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（1）</w:t>
      </w:r>
      <w:r>
        <w:rPr>
          <w:rFonts w:hint="eastAsia" w:ascii="宋体" w:hAnsi="宋体" w:cs="宋体"/>
          <w:color w:val="auto"/>
          <w:kern w:val="0"/>
          <w:highlight w:val="none"/>
        </w:rPr>
        <w:t>发包人</w:t>
      </w:r>
      <w:r>
        <w:rPr>
          <w:rFonts w:hint="eastAsia" w:ascii="宋体"/>
          <w:color w:val="auto"/>
          <w:szCs w:val="21"/>
          <w:highlight w:val="none"/>
        </w:rPr>
        <w:t xml:space="preserve">及其工作人员不得索要或接受设计人的礼金、有价证券和物品，不得在设计人报销任何应由发包人或发包人工作人员个人支付的费用等。 </w:t>
      </w:r>
    </w:p>
    <w:p w14:paraId="36867446">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（2）发包人工作人员不得参加设计人安排的宴请和娱乐活动；不得接受设计人提供的通讯工具、交通工具和办公用品等。</w:t>
      </w:r>
    </w:p>
    <w:p w14:paraId="5384B116">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 xml:space="preserve">（3）发包人及其工作人员不得要求或者接受设计人为其住房装修、婚丧嫁娶活动、配偶子女的工作安排以及出国出境、旅游等提供方便等。 </w:t>
      </w:r>
    </w:p>
    <w:p w14:paraId="13CF30E1">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发包人工作人员及其配偶、子女、</w:t>
      </w:r>
      <w:r>
        <w:rPr>
          <w:rFonts w:hint="eastAsia" w:ascii="宋体" w:hAnsi="宋体" w:cs="宋体"/>
          <w:color w:val="auto"/>
          <w:kern w:val="0"/>
          <w:highlight w:val="none"/>
        </w:rPr>
        <w:t>亲属</w:t>
      </w:r>
      <w:r>
        <w:rPr>
          <w:rFonts w:ascii="宋体" w:hAnsi="宋体" w:cs="宋体"/>
          <w:color w:val="auto"/>
          <w:kern w:val="0"/>
          <w:highlight w:val="none"/>
        </w:rPr>
        <w:t>不得从事与本</w:t>
      </w:r>
      <w:r>
        <w:rPr>
          <w:rFonts w:hint="eastAsia" w:ascii="宋体" w:hAnsi="宋体" w:cs="宋体"/>
          <w:color w:val="auto"/>
          <w:kern w:val="0"/>
          <w:highlight w:val="none"/>
        </w:rPr>
        <w:t>设计</w:t>
      </w:r>
      <w:r>
        <w:rPr>
          <w:rFonts w:ascii="宋体" w:hAnsi="宋体" w:cs="宋体"/>
          <w:color w:val="auto"/>
          <w:kern w:val="0"/>
          <w:highlight w:val="none"/>
        </w:rPr>
        <w:t>合同有关的</w:t>
      </w:r>
      <w:r>
        <w:rPr>
          <w:rFonts w:hint="eastAsia" w:ascii="宋体" w:hAnsi="宋体" w:cs="宋体"/>
          <w:color w:val="auto"/>
          <w:kern w:val="0"/>
          <w:highlight w:val="none"/>
        </w:rPr>
        <w:t>设计</w:t>
      </w:r>
      <w:r>
        <w:rPr>
          <w:rFonts w:ascii="宋体" w:hAnsi="宋体" w:cs="宋体"/>
          <w:color w:val="auto"/>
          <w:kern w:val="0"/>
          <w:highlight w:val="none"/>
        </w:rPr>
        <w:t>业务等活动。不得以任何理由要求设计人和相关单位在设计中使用某种产品、材料和设备</w:t>
      </w:r>
      <w:r>
        <w:rPr>
          <w:rFonts w:hint="eastAsia" w:ascii="宋体" w:hAnsi="宋体" w:cs="宋体"/>
          <w:color w:val="auto"/>
          <w:kern w:val="0"/>
          <w:highlight w:val="none"/>
        </w:rPr>
        <w:t>。</w:t>
      </w:r>
    </w:p>
    <w:p w14:paraId="42607D7D">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（5）</w:t>
      </w:r>
      <w:r>
        <w:rPr>
          <w:color w:val="auto"/>
          <w:highlight w:val="none"/>
        </w:rPr>
        <w:t>发包人工作人员要秉公办事</w:t>
      </w:r>
      <w:r>
        <w:rPr>
          <w:rFonts w:hint="eastAsia"/>
          <w:color w:val="auto"/>
          <w:highlight w:val="none"/>
        </w:rPr>
        <w:t>，</w:t>
      </w:r>
      <w:r>
        <w:rPr>
          <w:color w:val="auto"/>
          <w:highlight w:val="none"/>
        </w:rPr>
        <w:t>不准营私舞弊</w:t>
      </w:r>
      <w:r>
        <w:rPr>
          <w:rFonts w:hint="eastAsia"/>
          <w:color w:val="auto"/>
          <w:w w:val="90"/>
          <w:highlight w:val="none"/>
        </w:rPr>
        <w:t>，</w:t>
      </w:r>
      <w:r>
        <w:rPr>
          <w:color w:val="auto"/>
          <w:highlight w:val="none"/>
        </w:rPr>
        <w:t>不准利用职权从事各种个人有偿中介活动和安排个人</w:t>
      </w:r>
      <w:r>
        <w:rPr>
          <w:rFonts w:hint="eastAsia"/>
          <w:color w:val="auto"/>
          <w:highlight w:val="none"/>
        </w:rPr>
        <w:t>设计</w:t>
      </w:r>
      <w:r>
        <w:rPr>
          <w:color w:val="auto"/>
          <w:highlight w:val="none"/>
        </w:rPr>
        <w:t>队伍</w:t>
      </w:r>
      <w:r>
        <w:rPr>
          <w:rFonts w:hint="eastAsia"/>
          <w:color w:val="auto"/>
          <w:highlight w:val="none"/>
        </w:rPr>
        <w:t>。</w:t>
      </w:r>
    </w:p>
    <w:p w14:paraId="5A700AF1">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3.设计人的义务</w:t>
      </w:r>
      <w:r>
        <w:rPr>
          <w:rFonts w:ascii="宋体" w:hAnsi="宋体" w:cs="宋体"/>
          <w:color w:val="auto"/>
          <w:kern w:val="0"/>
          <w:highlight w:val="none"/>
        </w:rPr>
        <w:t xml:space="preserve"> </w:t>
      </w:r>
    </w:p>
    <w:p w14:paraId="1C3FEF44">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（1）</w:t>
      </w:r>
      <w:r>
        <w:rPr>
          <w:rFonts w:hint="eastAsia" w:ascii="宋体" w:hAnsi="宋体" w:cs="宋体"/>
          <w:color w:val="auto"/>
          <w:kern w:val="0"/>
          <w:highlight w:val="none"/>
        </w:rPr>
        <w:t>设计人</w:t>
      </w:r>
      <w:r>
        <w:rPr>
          <w:rFonts w:hint="eastAsia" w:ascii="宋体"/>
          <w:color w:val="auto"/>
          <w:szCs w:val="21"/>
          <w:highlight w:val="none"/>
        </w:rPr>
        <w:t>不得以任何理由向发包人及其工作人员行贿或馈赠礼金、有价证券、礼品。</w:t>
      </w:r>
    </w:p>
    <w:p w14:paraId="79100C1D">
      <w:pPr>
        <w:pStyle w:val="66"/>
        <w:tabs>
          <w:tab w:val="left" w:pos="2790"/>
        </w:tabs>
        <w:spacing w:line="400" w:lineRule="exact"/>
        <w:ind w:firstLine="420" w:firstLineChars="200"/>
        <w:rPr>
          <w:rFonts w:ascii="宋体"/>
          <w:color w:val="auto"/>
          <w:szCs w:val="21"/>
          <w:highlight w:val="none"/>
        </w:rPr>
      </w:pPr>
      <w:r>
        <w:rPr>
          <w:rFonts w:hint="eastAsia" w:ascii="宋体" w:hAnsi="宋体" w:cs="宋体"/>
          <w:color w:val="auto"/>
          <w:kern w:val="0"/>
          <w:highlight w:val="none"/>
        </w:rPr>
        <w:t>（2）设计人</w:t>
      </w:r>
      <w:r>
        <w:rPr>
          <w:rFonts w:hint="eastAsia" w:ascii="宋体"/>
          <w:color w:val="auto"/>
          <w:szCs w:val="21"/>
          <w:highlight w:val="none"/>
        </w:rPr>
        <w:t>不得以任何名义为发包人及其工作人员报销应由发包人单位或个人支付的任何费用。</w:t>
      </w:r>
    </w:p>
    <w:p w14:paraId="41DAF769">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（3）设计人不得以任何理由安排发包人工作人员参加宴请及娱乐活动。</w:t>
      </w:r>
    </w:p>
    <w:p w14:paraId="73A753DE">
      <w:pPr>
        <w:pStyle w:val="66"/>
        <w:tabs>
          <w:tab w:val="left" w:pos="2790"/>
        </w:tabs>
        <w:spacing w:line="400" w:lineRule="exact"/>
        <w:ind w:firstLine="420" w:firstLineChars="200"/>
        <w:rPr>
          <w:rFonts w:ascii="宋体"/>
          <w:color w:val="auto"/>
          <w:szCs w:val="21"/>
          <w:highlight w:val="none"/>
        </w:rPr>
      </w:pPr>
      <w:r>
        <w:rPr>
          <w:rFonts w:hint="eastAsia" w:ascii="宋体"/>
          <w:color w:val="auto"/>
          <w:szCs w:val="21"/>
          <w:highlight w:val="none"/>
        </w:rPr>
        <w:t>（4）设计人不得为发包人单位和个人购置或提供通讯工具、交通工具和办公用品等。</w:t>
      </w:r>
    </w:p>
    <w:p w14:paraId="3DEAF151">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4.违约责任</w:t>
      </w:r>
      <w:r>
        <w:rPr>
          <w:rFonts w:ascii="宋体" w:hAnsi="宋体" w:cs="宋体"/>
          <w:color w:val="auto"/>
          <w:kern w:val="0"/>
          <w:highlight w:val="none"/>
        </w:rPr>
        <w:t xml:space="preserve"> </w:t>
      </w:r>
    </w:p>
    <w:p w14:paraId="2842D211">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（1）发包人及其工作人员违反本合同第1、2条，按管理权限，依据有关规定给予党纪、政纪或组织处理；涉嫌犯罪的，移交司法机关追究刑事责任；给设计人单位造成经济损失的，应予以赔偿。</w:t>
      </w:r>
      <w:r>
        <w:rPr>
          <w:rFonts w:ascii="宋体" w:hAnsi="宋体" w:cs="宋体"/>
          <w:color w:val="auto"/>
          <w:kern w:val="0"/>
          <w:highlight w:val="none"/>
        </w:rPr>
        <w:t xml:space="preserve"> </w:t>
      </w:r>
    </w:p>
    <w:p w14:paraId="6BE124FB">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2）设计人及其工作人员违反本合同第1、3条，按管理权限，依据有关规定给予党纪、政纪或组织处理；给发包人单位造成经济损失的，应予以赔偿；情节严重的，发包人建议交通运输主管部门给予设计人一至三年内不得进入其主管的公路建设市场的处罚。</w:t>
      </w:r>
      <w:r>
        <w:rPr>
          <w:rFonts w:ascii="宋体" w:hAnsi="宋体" w:cs="宋体"/>
          <w:color w:val="auto"/>
          <w:kern w:val="0"/>
          <w:highlight w:val="none"/>
        </w:rPr>
        <w:t xml:space="preserve"> </w:t>
      </w:r>
    </w:p>
    <w:p w14:paraId="75A6FDBE">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5.双方约定：本合同由双方或双方上级单位的纪检监察部门负责监督执行。由发包人或发包人上级单位的纪检监察部门约请设计人或设计人上级单位纪检监察部门对本合同执行情况进行检查，提出在本合同规定范围内的裁定意见。</w:t>
      </w:r>
      <w:r>
        <w:rPr>
          <w:rFonts w:ascii="宋体" w:hAnsi="宋体" w:cs="宋体"/>
          <w:color w:val="auto"/>
          <w:kern w:val="0"/>
          <w:highlight w:val="none"/>
        </w:rPr>
        <w:t xml:space="preserve"> </w:t>
      </w:r>
    </w:p>
    <w:p w14:paraId="13370AFB">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6.本合同有效期为合同双方签署之日起至设计合同失效日止。</w:t>
      </w:r>
    </w:p>
    <w:p w14:paraId="42DBA756">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7.本合同作为</w:t>
      </w:r>
      <w:r>
        <w:rPr>
          <w:rFonts w:ascii="宋体" w:hAnsi="宋体" w:cs="宋体"/>
          <w:color w:val="auto"/>
          <w:kern w:val="0"/>
          <w:highlight w:val="none"/>
          <w:u w:val="single"/>
        </w:rPr>
        <w:t xml:space="preserve">           </w:t>
      </w:r>
      <w:r>
        <w:rPr>
          <w:rFonts w:hint="eastAsia" w:ascii="宋体" w:hAnsi="宋体" w:cs="宋体"/>
          <w:color w:val="auto"/>
          <w:kern w:val="0"/>
          <w:highlight w:val="none"/>
        </w:rPr>
        <w:t>（项目名称）第</w:t>
      </w:r>
      <w:r>
        <w:rPr>
          <w:rFonts w:ascii="宋体" w:hAnsi="宋体" w:cs="宋体"/>
          <w:color w:val="auto"/>
          <w:kern w:val="0"/>
          <w:highlight w:val="none"/>
          <w:u w:val="single"/>
        </w:rPr>
        <w:t xml:space="preserve">   </w:t>
      </w:r>
      <w:r>
        <w:rPr>
          <w:rFonts w:hint="eastAsia" w:ascii="宋体" w:hAnsi="宋体" w:cs="宋体"/>
          <w:color w:val="auto"/>
          <w:kern w:val="0"/>
          <w:highlight w:val="none"/>
        </w:rPr>
        <w:t>标段设计合同的附件，与设计合同具有同等的法律效力，经合同双方签署后立即生效。</w:t>
      </w:r>
      <w:r>
        <w:rPr>
          <w:rFonts w:ascii="宋体" w:hAnsi="宋体" w:cs="宋体"/>
          <w:color w:val="auto"/>
          <w:kern w:val="0"/>
          <w:highlight w:val="none"/>
        </w:rPr>
        <w:t xml:space="preserve"> </w:t>
      </w:r>
    </w:p>
    <w:p w14:paraId="093E7C95">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8.本合同一式四份，由发包人和设计人各执一份，送交发包人和设计人的监督单位各一份。</w:t>
      </w:r>
    </w:p>
    <w:p w14:paraId="3DCBF638">
      <w:pPr>
        <w:pStyle w:val="14"/>
        <w:spacing w:line="360" w:lineRule="exact"/>
        <w:jc w:val="left"/>
        <w:rPr>
          <w:rFonts w:ascii="宋体" w:hAnsi="宋体" w:cs="宋体"/>
          <w:color w:val="auto"/>
          <w:kern w:val="0"/>
          <w:highlight w:val="none"/>
        </w:rPr>
      </w:pPr>
    </w:p>
    <w:p w14:paraId="747C0310">
      <w:pPr>
        <w:pStyle w:val="14"/>
        <w:spacing w:line="360" w:lineRule="exact"/>
        <w:jc w:val="left"/>
        <w:rPr>
          <w:rFonts w:ascii="宋体" w:hAnsi="宋体" w:cs="宋体"/>
          <w:color w:val="auto"/>
          <w:kern w:val="0"/>
          <w:highlight w:val="none"/>
        </w:rPr>
      </w:pPr>
    </w:p>
    <w:p w14:paraId="4EA827BE">
      <w:pPr>
        <w:pStyle w:val="14"/>
        <w:spacing w:line="360" w:lineRule="exact"/>
        <w:jc w:val="left"/>
        <w:rPr>
          <w:color w:val="auto"/>
          <w:kern w:val="0"/>
          <w:highlight w:val="none"/>
        </w:rPr>
      </w:pPr>
      <w:r>
        <w:rPr>
          <w:rFonts w:hint="eastAsia" w:ascii="宋体" w:hAnsi="宋体" w:cs="宋体"/>
          <w:color w:val="auto"/>
          <w:kern w:val="0"/>
          <w:highlight w:val="none"/>
        </w:rPr>
        <w:t>发包人：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（盖单位章） 设计人：</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（盖单位章）</w:t>
      </w:r>
    </w:p>
    <w:p w14:paraId="1F6D6BD2">
      <w:pPr>
        <w:pStyle w:val="14"/>
        <w:spacing w:line="360" w:lineRule="exact"/>
        <w:jc w:val="left"/>
        <w:rPr>
          <w:rFonts w:ascii="宋体" w:hAnsi="宋体" w:cs="宋体"/>
          <w:color w:val="auto"/>
          <w:kern w:val="0"/>
          <w:highlight w:val="none"/>
        </w:rPr>
      </w:pPr>
      <w:r>
        <w:rPr>
          <w:rFonts w:hint="eastAsia" w:ascii="宋体" w:hAnsi="宋体" w:cs="宋体"/>
          <w:color w:val="auto"/>
          <w:kern w:val="0"/>
          <w:highlight w:val="none"/>
        </w:rPr>
        <w:t>法定代表人或其委托代理人：</w:t>
      </w:r>
      <w:r>
        <w:rPr>
          <w:rFonts w:ascii="宋体" w:hAnsi="宋体" w:cs="宋体"/>
          <w:color w:val="auto"/>
          <w:kern w:val="0"/>
          <w:highlight w:val="none"/>
          <w:u w:val="single"/>
        </w:rPr>
        <w:t xml:space="preserve">      </w:t>
      </w:r>
      <w:r>
        <w:rPr>
          <w:rFonts w:hint="eastAsia" w:ascii="宋体" w:hAnsi="宋体" w:cs="宋体"/>
          <w:color w:val="auto"/>
          <w:kern w:val="0"/>
          <w:highlight w:val="none"/>
        </w:rPr>
        <w:t>（签字）法定代表人或其委托代理人：</w:t>
      </w:r>
      <w:r>
        <w:rPr>
          <w:rFonts w:ascii="宋体" w:hAnsi="宋体" w:cs="宋体"/>
          <w:color w:val="auto"/>
          <w:kern w:val="0"/>
          <w:highlight w:val="none"/>
          <w:u w:val="single"/>
        </w:rPr>
        <w:t xml:space="preserve">      </w:t>
      </w:r>
      <w:r>
        <w:rPr>
          <w:rFonts w:hint="eastAsia" w:ascii="宋体" w:hAnsi="宋体" w:cs="宋体"/>
          <w:color w:val="auto"/>
          <w:kern w:val="0"/>
          <w:highlight w:val="none"/>
        </w:rPr>
        <w:t>（签字）</w:t>
      </w:r>
    </w:p>
    <w:p w14:paraId="2865E59C">
      <w:pPr>
        <w:pStyle w:val="14"/>
        <w:spacing w:line="360" w:lineRule="exact"/>
        <w:jc w:val="left"/>
        <w:rPr>
          <w:color w:val="auto"/>
          <w:kern w:val="0"/>
          <w:highlight w:val="none"/>
        </w:rPr>
      </w:pP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 xml:space="preserve">日 </w:t>
      </w:r>
      <w:r>
        <w:rPr>
          <w:rFonts w:ascii="宋体" w:hAnsi="宋体" w:cs="宋体"/>
          <w:color w:val="auto"/>
          <w:kern w:val="0"/>
          <w:highlight w:val="non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年</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月</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日</w:t>
      </w:r>
    </w:p>
    <w:p w14:paraId="6DF6C0DB">
      <w:pPr>
        <w:pStyle w:val="14"/>
        <w:spacing w:line="360" w:lineRule="exact"/>
        <w:rPr>
          <w:rFonts w:ascii="宋体" w:hAnsi="宋体" w:cs="宋体"/>
          <w:color w:val="auto"/>
          <w:kern w:val="0"/>
          <w:highlight w:val="none"/>
        </w:rPr>
      </w:pPr>
      <w:r>
        <w:rPr>
          <w:rFonts w:hint="eastAsia" w:ascii="宋体" w:hAnsi="宋体" w:cs="宋体"/>
          <w:color w:val="auto"/>
          <w:kern w:val="0"/>
          <w:highlight w:val="none"/>
        </w:rPr>
        <w:t>发包人监督单位：</w:t>
      </w:r>
      <w:r>
        <w:rPr>
          <w:rFonts w:hint="eastAsia" w:ascii="宋体" w:hAnsi="宋体" w:cs="宋体"/>
          <w:color w:val="auto"/>
          <w:kern w:val="0"/>
          <w:highlight w:val="none"/>
          <w:u w:val="single"/>
        </w:rPr>
        <w:t>（全称）（盖单位章）</w:t>
      </w:r>
      <w:r>
        <w:rPr>
          <w:rFonts w:ascii="宋体" w:hAnsi="宋体" w:cs="宋体"/>
          <w:color w:val="auto"/>
          <w:kern w:val="0"/>
          <w:highlight w:val="none"/>
        </w:rPr>
        <w:t xml:space="preserve"> </w:t>
      </w:r>
      <w:r>
        <w:rPr>
          <w:rFonts w:hint="eastAsia" w:ascii="宋体" w:hAnsi="宋体" w:cs="宋体"/>
          <w:color w:val="auto"/>
          <w:kern w:val="0"/>
          <w:highlight w:val="none"/>
        </w:rPr>
        <w:t xml:space="preserve">   设计人监督单位：</w:t>
      </w:r>
      <w:r>
        <w:rPr>
          <w:rFonts w:hint="eastAsia" w:ascii="宋体" w:hAnsi="宋体" w:cs="宋体"/>
          <w:color w:val="auto"/>
          <w:kern w:val="0"/>
          <w:highlight w:val="none"/>
          <w:u w:val="single"/>
        </w:rPr>
        <w:t>（全称）（盖单位章）</w:t>
      </w:r>
    </w:p>
    <w:p w14:paraId="4D9899F0">
      <w:pPr>
        <w:pStyle w:val="62"/>
        <w:rPr>
          <w:rFonts w:ascii="黑体" w:hAnsi="黑体"/>
          <w:color w:val="auto"/>
          <w:szCs w:val="28"/>
          <w:highlight w:val="none"/>
        </w:rPr>
      </w:pPr>
      <w:r>
        <w:rPr>
          <w:rFonts w:ascii="宋体" w:hAnsi="宋体"/>
          <w:color w:val="auto"/>
          <w:kern w:val="0"/>
          <w:highlight w:val="none"/>
        </w:rPr>
        <w:br w:type="page"/>
      </w:r>
      <w:bookmarkStart w:id="861" w:name="_Toc21950"/>
      <w:bookmarkStart w:id="862" w:name="_Toc13827"/>
      <w:bookmarkStart w:id="863" w:name="_Toc5962"/>
      <w:bookmarkStart w:id="864" w:name="_Toc19212"/>
      <w:bookmarkStart w:id="865" w:name="_Toc18875"/>
      <w:bookmarkStart w:id="866" w:name="_Toc32198"/>
      <w:r>
        <w:rPr>
          <w:rFonts w:hint="eastAsia" w:ascii="黑体" w:hAnsi="黑体"/>
          <w:color w:val="auto"/>
          <w:szCs w:val="28"/>
          <w:highlight w:val="none"/>
        </w:rPr>
        <w:t>附件三 分项负责人最低要求</w:t>
      </w:r>
      <w:r>
        <w:rPr>
          <w:rStyle w:val="41"/>
          <w:rFonts w:hint="eastAsia" w:ascii="黑体" w:hAnsi="黑体"/>
          <w:color w:val="auto"/>
          <w:szCs w:val="28"/>
          <w:highlight w:val="none"/>
        </w:rPr>
        <w:footnoteReference w:id="2"/>
      </w:r>
      <w:bookmarkEnd w:id="861"/>
      <w:bookmarkEnd w:id="862"/>
      <w:bookmarkEnd w:id="863"/>
      <w:bookmarkEnd w:id="864"/>
      <w:bookmarkEnd w:id="865"/>
      <w:bookmarkEnd w:id="866"/>
    </w:p>
    <w:tbl>
      <w:tblPr>
        <w:tblStyle w:val="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9"/>
        <w:gridCol w:w="2160"/>
        <w:gridCol w:w="4285"/>
      </w:tblGrid>
      <w:tr w14:paraId="13CC4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449" w:type="dxa"/>
            <w:vAlign w:val="center"/>
          </w:tcPr>
          <w:p w14:paraId="76BC835F">
            <w:pPr>
              <w:pStyle w:val="71"/>
              <w:tabs>
                <w:tab w:val="left" w:pos="488"/>
              </w:tabs>
              <w:jc w:val="center"/>
              <w:rPr>
                <w:color w:val="auto"/>
                <w:sz w:val="24"/>
                <w:highlight w:val="none"/>
              </w:rPr>
            </w:pPr>
            <w:r>
              <w:rPr>
                <w:color w:val="auto"/>
                <w:sz w:val="24"/>
                <w:highlight w:val="none"/>
              </w:rPr>
              <w:t>人员</w:t>
            </w:r>
          </w:p>
        </w:tc>
        <w:tc>
          <w:tcPr>
            <w:tcW w:w="2160" w:type="dxa"/>
            <w:vAlign w:val="center"/>
          </w:tcPr>
          <w:p w14:paraId="591EB213">
            <w:pPr>
              <w:pStyle w:val="71"/>
              <w:tabs>
                <w:tab w:val="left" w:pos="1199"/>
              </w:tabs>
              <w:jc w:val="center"/>
              <w:rPr>
                <w:color w:val="auto"/>
                <w:sz w:val="24"/>
                <w:highlight w:val="none"/>
              </w:rPr>
            </w:pPr>
            <w:r>
              <w:rPr>
                <w:color w:val="auto"/>
                <w:sz w:val="24"/>
                <w:highlight w:val="none"/>
              </w:rPr>
              <w:t>数量</w:t>
            </w:r>
          </w:p>
        </w:tc>
        <w:tc>
          <w:tcPr>
            <w:tcW w:w="4285" w:type="dxa"/>
            <w:vAlign w:val="center"/>
          </w:tcPr>
          <w:p w14:paraId="6B33C0C8">
            <w:pPr>
              <w:pStyle w:val="71"/>
              <w:ind w:right="1454"/>
              <w:jc w:val="center"/>
              <w:rPr>
                <w:color w:val="auto"/>
                <w:sz w:val="24"/>
                <w:highlight w:val="none"/>
              </w:rPr>
            </w:pPr>
            <w:r>
              <w:rPr>
                <w:rFonts w:hint="eastAsia"/>
                <w:color w:val="auto"/>
                <w:sz w:val="24"/>
                <w:highlight w:val="none"/>
              </w:rPr>
              <w:t xml:space="preserve">          </w:t>
            </w:r>
            <w:r>
              <w:rPr>
                <w:color w:val="auto"/>
                <w:sz w:val="24"/>
                <w:highlight w:val="none"/>
              </w:rPr>
              <w:t>资格要求</w:t>
            </w:r>
          </w:p>
        </w:tc>
      </w:tr>
      <w:tr w14:paraId="6150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2449" w:type="dxa"/>
            <w:vAlign w:val="center"/>
          </w:tcPr>
          <w:p w14:paraId="1C972F1F">
            <w:pPr>
              <w:pStyle w:val="71"/>
              <w:tabs>
                <w:tab w:val="left" w:pos="488"/>
              </w:tabs>
              <w:jc w:val="center"/>
              <w:rPr>
                <w:color w:val="auto"/>
                <w:sz w:val="21"/>
                <w:szCs w:val="21"/>
                <w:highlight w:val="none"/>
              </w:rPr>
            </w:pPr>
          </w:p>
        </w:tc>
        <w:tc>
          <w:tcPr>
            <w:tcW w:w="2160" w:type="dxa"/>
            <w:vAlign w:val="center"/>
          </w:tcPr>
          <w:p w14:paraId="624C8A86">
            <w:pPr>
              <w:pStyle w:val="71"/>
              <w:tabs>
                <w:tab w:val="left" w:pos="488"/>
              </w:tabs>
              <w:jc w:val="center"/>
              <w:rPr>
                <w:color w:val="auto"/>
                <w:sz w:val="21"/>
                <w:szCs w:val="21"/>
                <w:highlight w:val="none"/>
              </w:rPr>
            </w:pPr>
          </w:p>
        </w:tc>
        <w:tc>
          <w:tcPr>
            <w:tcW w:w="4285" w:type="dxa"/>
            <w:vAlign w:val="center"/>
          </w:tcPr>
          <w:p w14:paraId="3E23FDEC">
            <w:pPr>
              <w:pStyle w:val="71"/>
              <w:tabs>
                <w:tab w:val="left" w:pos="488"/>
              </w:tabs>
              <w:rPr>
                <w:color w:val="auto"/>
                <w:sz w:val="21"/>
                <w:szCs w:val="21"/>
                <w:highlight w:val="none"/>
              </w:rPr>
            </w:pPr>
          </w:p>
        </w:tc>
      </w:tr>
      <w:tr w14:paraId="51FB1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2B248F73">
            <w:pPr>
              <w:pStyle w:val="71"/>
              <w:tabs>
                <w:tab w:val="left" w:pos="488"/>
              </w:tabs>
              <w:jc w:val="center"/>
              <w:rPr>
                <w:color w:val="auto"/>
                <w:sz w:val="21"/>
                <w:szCs w:val="21"/>
                <w:highlight w:val="none"/>
              </w:rPr>
            </w:pPr>
          </w:p>
        </w:tc>
        <w:tc>
          <w:tcPr>
            <w:tcW w:w="2160" w:type="dxa"/>
            <w:vAlign w:val="center"/>
          </w:tcPr>
          <w:p w14:paraId="724CD685">
            <w:pPr>
              <w:pStyle w:val="71"/>
              <w:tabs>
                <w:tab w:val="left" w:pos="488"/>
              </w:tabs>
              <w:jc w:val="center"/>
              <w:rPr>
                <w:color w:val="auto"/>
                <w:sz w:val="21"/>
                <w:szCs w:val="21"/>
                <w:highlight w:val="none"/>
              </w:rPr>
            </w:pPr>
          </w:p>
        </w:tc>
        <w:tc>
          <w:tcPr>
            <w:tcW w:w="4285" w:type="dxa"/>
            <w:vAlign w:val="center"/>
          </w:tcPr>
          <w:p w14:paraId="32A5C4B5">
            <w:pPr>
              <w:pStyle w:val="71"/>
              <w:tabs>
                <w:tab w:val="left" w:pos="488"/>
              </w:tabs>
              <w:rPr>
                <w:color w:val="auto"/>
                <w:sz w:val="21"/>
                <w:szCs w:val="21"/>
                <w:highlight w:val="none"/>
              </w:rPr>
            </w:pPr>
          </w:p>
        </w:tc>
      </w:tr>
      <w:tr w14:paraId="36227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49" w:type="dxa"/>
            <w:vAlign w:val="center"/>
          </w:tcPr>
          <w:p w14:paraId="785028DD">
            <w:pPr>
              <w:pStyle w:val="71"/>
              <w:tabs>
                <w:tab w:val="left" w:pos="488"/>
              </w:tabs>
              <w:jc w:val="center"/>
              <w:rPr>
                <w:color w:val="auto"/>
                <w:sz w:val="21"/>
                <w:szCs w:val="21"/>
                <w:highlight w:val="none"/>
              </w:rPr>
            </w:pPr>
          </w:p>
        </w:tc>
        <w:tc>
          <w:tcPr>
            <w:tcW w:w="2160" w:type="dxa"/>
            <w:vAlign w:val="center"/>
          </w:tcPr>
          <w:p w14:paraId="5E3FC440">
            <w:pPr>
              <w:pStyle w:val="71"/>
              <w:tabs>
                <w:tab w:val="left" w:pos="488"/>
              </w:tabs>
              <w:jc w:val="center"/>
              <w:rPr>
                <w:color w:val="auto"/>
                <w:sz w:val="21"/>
                <w:szCs w:val="21"/>
                <w:highlight w:val="none"/>
              </w:rPr>
            </w:pPr>
          </w:p>
        </w:tc>
        <w:tc>
          <w:tcPr>
            <w:tcW w:w="4285" w:type="dxa"/>
            <w:vAlign w:val="center"/>
          </w:tcPr>
          <w:p w14:paraId="6AAD5FC0">
            <w:pPr>
              <w:pStyle w:val="71"/>
              <w:tabs>
                <w:tab w:val="left" w:pos="488"/>
              </w:tabs>
              <w:rPr>
                <w:color w:val="auto"/>
                <w:sz w:val="21"/>
                <w:szCs w:val="21"/>
                <w:highlight w:val="none"/>
              </w:rPr>
            </w:pPr>
          </w:p>
        </w:tc>
      </w:tr>
      <w:tr w14:paraId="6AC94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1E818856">
            <w:pPr>
              <w:pStyle w:val="71"/>
              <w:tabs>
                <w:tab w:val="left" w:pos="488"/>
              </w:tabs>
              <w:jc w:val="center"/>
              <w:rPr>
                <w:color w:val="auto"/>
                <w:sz w:val="21"/>
                <w:szCs w:val="21"/>
                <w:highlight w:val="none"/>
              </w:rPr>
            </w:pPr>
          </w:p>
        </w:tc>
        <w:tc>
          <w:tcPr>
            <w:tcW w:w="2160" w:type="dxa"/>
            <w:vAlign w:val="center"/>
          </w:tcPr>
          <w:p w14:paraId="5879F10B">
            <w:pPr>
              <w:pStyle w:val="71"/>
              <w:tabs>
                <w:tab w:val="left" w:pos="488"/>
              </w:tabs>
              <w:jc w:val="center"/>
              <w:rPr>
                <w:color w:val="auto"/>
                <w:sz w:val="21"/>
                <w:szCs w:val="21"/>
                <w:highlight w:val="none"/>
              </w:rPr>
            </w:pPr>
          </w:p>
        </w:tc>
        <w:tc>
          <w:tcPr>
            <w:tcW w:w="4285" w:type="dxa"/>
            <w:vAlign w:val="center"/>
          </w:tcPr>
          <w:p w14:paraId="6BD6BABF">
            <w:pPr>
              <w:pStyle w:val="71"/>
              <w:tabs>
                <w:tab w:val="left" w:pos="488"/>
              </w:tabs>
              <w:rPr>
                <w:color w:val="auto"/>
                <w:sz w:val="21"/>
                <w:szCs w:val="21"/>
                <w:highlight w:val="none"/>
              </w:rPr>
            </w:pPr>
          </w:p>
        </w:tc>
      </w:tr>
      <w:tr w14:paraId="0AD62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6608183A">
            <w:pPr>
              <w:pStyle w:val="71"/>
              <w:tabs>
                <w:tab w:val="left" w:pos="488"/>
              </w:tabs>
              <w:jc w:val="center"/>
              <w:rPr>
                <w:color w:val="auto"/>
                <w:sz w:val="21"/>
                <w:szCs w:val="21"/>
                <w:highlight w:val="none"/>
              </w:rPr>
            </w:pPr>
          </w:p>
        </w:tc>
        <w:tc>
          <w:tcPr>
            <w:tcW w:w="2160" w:type="dxa"/>
            <w:vAlign w:val="center"/>
          </w:tcPr>
          <w:p w14:paraId="4CE5869E">
            <w:pPr>
              <w:pStyle w:val="71"/>
              <w:tabs>
                <w:tab w:val="left" w:pos="488"/>
              </w:tabs>
              <w:jc w:val="center"/>
              <w:rPr>
                <w:color w:val="auto"/>
                <w:sz w:val="21"/>
                <w:szCs w:val="21"/>
                <w:highlight w:val="none"/>
              </w:rPr>
            </w:pPr>
          </w:p>
        </w:tc>
        <w:tc>
          <w:tcPr>
            <w:tcW w:w="4285" w:type="dxa"/>
            <w:vAlign w:val="center"/>
          </w:tcPr>
          <w:p w14:paraId="40ACB82D">
            <w:pPr>
              <w:pStyle w:val="71"/>
              <w:tabs>
                <w:tab w:val="left" w:pos="488"/>
              </w:tabs>
              <w:rPr>
                <w:color w:val="auto"/>
                <w:sz w:val="21"/>
                <w:szCs w:val="21"/>
                <w:highlight w:val="none"/>
              </w:rPr>
            </w:pPr>
          </w:p>
        </w:tc>
      </w:tr>
      <w:tr w14:paraId="60F17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48DA2A9B">
            <w:pPr>
              <w:pStyle w:val="71"/>
              <w:tabs>
                <w:tab w:val="left" w:pos="488"/>
              </w:tabs>
              <w:jc w:val="center"/>
              <w:rPr>
                <w:color w:val="auto"/>
                <w:sz w:val="21"/>
                <w:szCs w:val="21"/>
                <w:highlight w:val="none"/>
              </w:rPr>
            </w:pPr>
          </w:p>
        </w:tc>
        <w:tc>
          <w:tcPr>
            <w:tcW w:w="2160" w:type="dxa"/>
            <w:vAlign w:val="center"/>
          </w:tcPr>
          <w:p w14:paraId="4A9D8C8D">
            <w:pPr>
              <w:pStyle w:val="71"/>
              <w:tabs>
                <w:tab w:val="left" w:pos="488"/>
              </w:tabs>
              <w:jc w:val="center"/>
              <w:rPr>
                <w:color w:val="auto"/>
                <w:sz w:val="21"/>
                <w:szCs w:val="21"/>
                <w:highlight w:val="none"/>
              </w:rPr>
            </w:pPr>
          </w:p>
        </w:tc>
        <w:tc>
          <w:tcPr>
            <w:tcW w:w="4285" w:type="dxa"/>
            <w:vAlign w:val="center"/>
          </w:tcPr>
          <w:p w14:paraId="21E1604F">
            <w:pPr>
              <w:pStyle w:val="71"/>
              <w:tabs>
                <w:tab w:val="left" w:pos="488"/>
              </w:tabs>
              <w:rPr>
                <w:color w:val="auto"/>
                <w:sz w:val="21"/>
                <w:szCs w:val="21"/>
                <w:highlight w:val="none"/>
              </w:rPr>
            </w:pPr>
          </w:p>
        </w:tc>
      </w:tr>
      <w:tr w14:paraId="1AB29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449" w:type="dxa"/>
            <w:vAlign w:val="center"/>
          </w:tcPr>
          <w:p w14:paraId="783A9C43">
            <w:pPr>
              <w:pStyle w:val="71"/>
              <w:tabs>
                <w:tab w:val="left" w:pos="488"/>
              </w:tabs>
              <w:jc w:val="center"/>
              <w:rPr>
                <w:color w:val="auto"/>
                <w:sz w:val="21"/>
                <w:szCs w:val="21"/>
                <w:highlight w:val="none"/>
              </w:rPr>
            </w:pPr>
          </w:p>
        </w:tc>
        <w:tc>
          <w:tcPr>
            <w:tcW w:w="2160" w:type="dxa"/>
            <w:vAlign w:val="center"/>
          </w:tcPr>
          <w:p w14:paraId="7DEE8582">
            <w:pPr>
              <w:pStyle w:val="71"/>
              <w:tabs>
                <w:tab w:val="left" w:pos="488"/>
              </w:tabs>
              <w:jc w:val="center"/>
              <w:rPr>
                <w:color w:val="auto"/>
                <w:sz w:val="21"/>
                <w:szCs w:val="21"/>
                <w:highlight w:val="none"/>
              </w:rPr>
            </w:pPr>
          </w:p>
        </w:tc>
        <w:tc>
          <w:tcPr>
            <w:tcW w:w="4285" w:type="dxa"/>
            <w:vAlign w:val="center"/>
          </w:tcPr>
          <w:p w14:paraId="02381FEA">
            <w:pPr>
              <w:pStyle w:val="71"/>
              <w:tabs>
                <w:tab w:val="left" w:pos="488"/>
              </w:tabs>
              <w:rPr>
                <w:color w:val="auto"/>
                <w:sz w:val="21"/>
                <w:szCs w:val="21"/>
                <w:highlight w:val="none"/>
              </w:rPr>
            </w:pPr>
          </w:p>
        </w:tc>
      </w:tr>
      <w:tr w14:paraId="0AF5C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9" w:type="dxa"/>
            <w:vAlign w:val="center"/>
          </w:tcPr>
          <w:p w14:paraId="695FBFE0">
            <w:pPr>
              <w:pStyle w:val="71"/>
              <w:tabs>
                <w:tab w:val="left" w:pos="488"/>
              </w:tabs>
              <w:jc w:val="center"/>
              <w:rPr>
                <w:color w:val="auto"/>
                <w:sz w:val="21"/>
                <w:szCs w:val="21"/>
                <w:highlight w:val="none"/>
              </w:rPr>
            </w:pPr>
          </w:p>
        </w:tc>
        <w:tc>
          <w:tcPr>
            <w:tcW w:w="2160" w:type="dxa"/>
            <w:vAlign w:val="center"/>
          </w:tcPr>
          <w:p w14:paraId="71DD792F">
            <w:pPr>
              <w:pStyle w:val="71"/>
              <w:tabs>
                <w:tab w:val="left" w:pos="488"/>
              </w:tabs>
              <w:jc w:val="center"/>
              <w:rPr>
                <w:color w:val="auto"/>
                <w:sz w:val="21"/>
                <w:szCs w:val="21"/>
                <w:highlight w:val="none"/>
              </w:rPr>
            </w:pPr>
          </w:p>
        </w:tc>
        <w:tc>
          <w:tcPr>
            <w:tcW w:w="4285" w:type="dxa"/>
            <w:vAlign w:val="center"/>
          </w:tcPr>
          <w:p w14:paraId="6D29E270">
            <w:pPr>
              <w:pStyle w:val="71"/>
              <w:tabs>
                <w:tab w:val="left" w:pos="488"/>
              </w:tabs>
              <w:rPr>
                <w:color w:val="auto"/>
                <w:sz w:val="21"/>
                <w:szCs w:val="21"/>
                <w:highlight w:val="none"/>
              </w:rPr>
            </w:pPr>
          </w:p>
        </w:tc>
      </w:tr>
    </w:tbl>
    <w:p w14:paraId="6C17CB4F">
      <w:pPr>
        <w:pStyle w:val="62"/>
        <w:rPr>
          <w:rFonts w:ascii="黑体" w:hAnsi="黑体"/>
          <w:color w:val="auto"/>
          <w:szCs w:val="28"/>
          <w:highlight w:val="none"/>
        </w:rPr>
      </w:pPr>
      <w:r>
        <w:rPr>
          <w:rFonts w:ascii="黑体" w:hAnsi="黑体"/>
          <w:color w:val="auto"/>
          <w:szCs w:val="28"/>
          <w:highlight w:val="none"/>
        </w:rPr>
        <w:br w:type="page"/>
      </w:r>
      <w:bookmarkStart w:id="867" w:name="_Toc24564"/>
      <w:bookmarkStart w:id="868" w:name="_Toc15934"/>
      <w:bookmarkStart w:id="869" w:name="_Toc27168"/>
      <w:bookmarkStart w:id="870" w:name="_Toc11688"/>
      <w:bookmarkStart w:id="871" w:name="_Toc32301"/>
      <w:bookmarkStart w:id="872" w:name="_Toc20556"/>
      <w:r>
        <w:rPr>
          <w:rFonts w:hint="eastAsia" w:ascii="黑体" w:hAnsi="黑体"/>
          <w:color w:val="auto"/>
          <w:szCs w:val="28"/>
          <w:highlight w:val="none"/>
        </w:rPr>
        <w:t>附件四 设计质量责任合同格式</w:t>
      </w:r>
      <w:bookmarkEnd w:id="867"/>
      <w:bookmarkEnd w:id="868"/>
      <w:bookmarkEnd w:id="869"/>
      <w:bookmarkEnd w:id="870"/>
      <w:bookmarkEnd w:id="871"/>
      <w:bookmarkEnd w:id="872"/>
      <w:r>
        <w:rPr>
          <w:rFonts w:hint="eastAsia" w:ascii="黑体" w:hAnsi="黑体"/>
          <w:color w:val="auto"/>
          <w:szCs w:val="28"/>
          <w:highlight w:val="none"/>
        </w:rPr>
        <w:t xml:space="preserve"> </w:t>
      </w:r>
    </w:p>
    <w:p w14:paraId="4CB40311">
      <w:pPr>
        <w:pStyle w:val="48"/>
        <w:widowControl/>
        <w:spacing w:before="120" w:beforeLines="50" w:after="120" w:afterLines="50"/>
        <w:jc w:val="center"/>
        <w:rPr>
          <w:rFonts w:ascii="黑体" w:hAnsi="黑体" w:eastAsia="黑体" w:cs="黑体"/>
          <w:b/>
          <w:bCs/>
          <w:color w:val="auto"/>
          <w:kern w:val="0"/>
          <w:sz w:val="28"/>
          <w:szCs w:val="28"/>
          <w:highlight w:val="none"/>
        </w:rPr>
      </w:pPr>
      <w:r>
        <w:rPr>
          <w:rFonts w:hint="eastAsia" w:ascii="黑体" w:hAnsi="黑体" w:eastAsia="黑体" w:cs="黑体"/>
          <w:b/>
          <w:bCs/>
          <w:color w:val="auto"/>
          <w:kern w:val="0"/>
          <w:sz w:val="28"/>
          <w:szCs w:val="28"/>
          <w:highlight w:val="none"/>
        </w:rPr>
        <w:t>设计质量责任合同</w:t>
      </w:r>
    </w:p>
    <w:p w14:paraId="32594D31">
      <w:pPr>
        <w:spacing w:line="400" w:lineRule="exact"/>
        <w:ind w:firstLine="435"/>
        <w:rPr>
          <w:rFonts w:ascii="宋体" w:hAnsi="宋体"/>
          <w:color w:val="auto"/>
          <w:szCs w:val="20"/>
          <w:highlight w:val="none"/>
        </w:rPr>
      </w:pPr>
      <w:r>
        <w:rPr>
          <w:rFonts w:ascii="宋体" w:hAnsi="宋体"/>
          <w:color w:val="auto"/>
          <w:szCs w:val="20"/>
          <w:highlight w:val="none"/>
        </w:rPr>
        <w:t>根据国务院《建设工程质量管理条例》，为保证在设计使用年限内建设工程质量，</w:t>
      </w:r>
      <w:r>
        <w:rPr>
          <w:rFonts w:hint="eastAsia" w:ascii="宋体" w:hAnsi="宋体"/>
          <w:color w:val="auto"/>
          <w:szCs w:val="20"/>
          <w:highlight w:val="none"/>
          <w:u w:val="single"/>
        </w:rPr>
        <w:t xml:space="preserve">    </w:t>
      </w:r>
      <w:r>
        <w:rPr>
          <w:rFonts w:ascii="宋体" w:hAnsi="宋体"/>
          <w:color w:val="auto"/>
          <w:szCs w:val="20"/>
          <w:highlight w:val="none"/>
          <w:u w:val="single"/>
        </w:rPr>
        <w:t>（项目名称）</w:t>
      </w:r>
      <w:r>
        <w:rPr>
          <w:rFonts w:hint="eastAsia" w:ascii="宋体" w:hAnsi="宋体"/>
          <w:color w:val="auto"/>
          <w:szCs w:val="20"/>
          <w:highlight w:val="none"/>
          <w:u w:val="single"/>
        </w:rPr>
        <w:t xml:space="preserve">    </w:t>
      </w:r>
      <w:r>
        <w:rPr>
          <w:rFonts w:ascii="宋体" w:hAnsi="宋体"/>
          <w:color w:val="auto"/>
          <w:szCs w:val="20"/>
          <w:highlight w:val="none"/>
        </w:rPr>
        <w:t>的</w:t>
      </w:r>
      <w:r>
        <w:rPr>
          <w:rFonts w:hint="eastAsia" w:ascii="宋体" w:hAnsi="宋体"/>
          <w:color w:val="auto"/>
          <w:szCs w:val="20"/>
          <w:highlight w:val="none"/>
        </w:rPr>
        <w:t>发包人</w:t>
      </w:r>
      <w:r>
        <w:rPr>
          <w:rFonts w:ascii="宋体" w:hAnsi="宋体"/>
          <w:color w:val="auto"/>
          <w:szCs w:val="21"/>
          <w:highlight w:val="none"/>
          <w:u w:val="single"/>
        </w:rPr>
        <w:t xml:space="preserve">            </w:t>
      </w:r>
      <w:r>
        <w:rPr>
          <w:rFonts w:ascii="宋体" w:hAnsi="宋体"/>
          <w:color w:val="auto"/>
          <w:szCs w:val="21"/>
          <w:highlight w:val="none"/>
        </w:rPr>
        <w:t>（以下简称甲方）与</w:t>
      </w:r>
      <w:r>
        <w:rPr>
          <w:rFonts w:hint="eastAsia" w:ascii="宋体" w:hAnsi="宋体"/>
          <w:color w:val="auto"/>
          <w:szCs w:val="21"/>
          <w:highlight w:val="none"/>
        </w:rPr>
        <w:t>设计人</w:t>
      </w:r>
      <w:r>
        <w:rPr>
          <w:rFonts w:ascii="宋体" w:hAnsi="宋体"/>
          <w:color w:val="auto"/>
          <w:szCs w:val="21"/>
          <w:highlight w:val="none"/>
          <w:u w:val="single"/>
        </w:rPr>
        <w:t xml:space="preserve">               </w:t>
      </w:r>
      <w:r>
        <w:rPr>
          <w:rFonts w:ascii="宋体" w:hAnsi="宋体"/>
          <w:color w:val="auto"/>
          <w:szCs w:val="20"/>
          <w:highlight w:val="none"/>
        </w:rPr>
        <w:t>（以下简称乙方），特此签订如下质量责任合同：</w:t>
      </w:r>
    </w:p>
    <w:p w14:paraId="0A94D2DE">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一</w:t>
      </w:r>
      <w:r>
        <w:rPr>
          <w:rFonts w:ascii="宋体" w:hAnsi="宋体"/>
          <w:color w:val="auto"/>
          <w:szCs w:val="20"/>
          <w:highlight w:val="none"/>
        </w:rPr>
        <w:t xml:space="preserve">条  </w:t>
      </w:r>
      <w:r>
        <w:rPr>
          <w:rFonts w:hint="eastAsia" w:ascii="宋体" w:hAnsi="宋体"/>
          <w:color w:val="auto"/>
          <w:szCs w:val="20"/>
          <w:highlight w:val="none"/>
        </w:rPr>
        <w:t>发包人</w:t>
      </w:r>
      <w:r>
        <w:rPr>
          <w:rFonts w:ascii="宋体" w:hAnsi="宋体"/>
          <w:color w:val="auto"/>
          <w:szCs w:val="20"/>
          <w:highlight w:val="none"/>
        </w:rPr>
        <w:t>和</w:t>
      </w:r>
      <w:r>
        <w:rPr>
          <w:rFonts w:hint="eastAsia" w:ascii="宋体" w:hAnsi="宋体"/>
          <w:color w:val="auto"/>
          <w:szCs w:val="21"/>
          <w:highlight w:val="none"/>
        </w:rPr>
        <w:t>设计人</w:t>
      </w:r>
      <w:r>
        <w:rPr>
          <w:rFonts w:ascii="宋体" w:hAnsi="宋体"/>
          <w:color w:val="auto"/>
          <w:szCs w:val="20"/>
          <w:highlight w:val="none"/>
        </w:rPr>
        <w:t>对本建设工程项目的设计质量在设计使用年限内依法终身负责。</w:t>
      </w:r>
      <w:r>
        <w:rPr>
          <w:rFonts w:hint="eastAsia" w:ascii="宋体" w:hAnsi="宋体"/>
          <w:color w:val="auto"/>
          <w:szCs w:val="20"/>
          <w:highlight w:val="none"/>
        </w:rPr>
        <w:t>本项目设计质量要求：设计工作综合评价分值90分及以上。</w:t>
      </w:r>
    </w:p>
    <w:p w14:paraId="1CAAFECB">
      <w:pPr>
        <w:spacing w:line="400" w:lineRule="exact"/>
        <w:ind w:firstLine="435"/>
        <w:rPr>
          <w:rFonts w:ascii="宋体" w:hAnsi="宋体"/>
          <w:color w:val="auto"/>
          <w:szCs w:val="21"/>
          <w:highlight w:val="none"/>
        </w:rPr>
      </w:pPr>
      <w:r>
        <w:rPr>
          <w:rFonts w:ascii="宋体" w:hAnsi="宋体"/>
          <w:color w:val="auto"/>
          <w:szCs w:val="20"/>
          <w:highlight w:val="none"/>
        </w:rPr>
        <w:t>第</w:t>
      </w:r>
      <w:r>
        <w:rPr>
          <w:rFonts w:hint="eastAsia" w:ascii="宋体" w:hAnsi="宋体"/>
          <w:color w:val="auto"/>
          <w:szCs w:val="20"/>
          <w:highlight w:val="none"/>
        </w:rPr>
        <w:t>二</w:t>
      </w:r>
      <w:r>
        <w:rPr>
          <w:rFonts w:ascii="宋体" w:hAnsi="宋体"/>
          <w:color w:val="auto"/>
          <w:szCs w:val="20"/>
          <w:highlight w:val="none"/>
        </w:rPr>
        <w:t>条  本建设工程项目的</w:t>
      </w:r>
      <w:r>
        <w:rPr>
          <w:rFonts w:hint="eastAsia" w:ascii="宋体" w:hAnsi="宋体"/>
          <w:color w:val="auto"/>
          <w:szCs w:val="20"/>
          <w:highlight w:val="none"/>
        </w:rPr>
        <w:t>设计质量</w:t>
      </w:r>
      <w:r>
        <w:rPr>
          <w:rFonts w:ascii="宋体" w:hAnsi="宋体"/>
          <w:color w:val="auto"/>
          <w:szCs w:val="20"/>
          <w:highlight w:val="none"/>
        </w:rPr>
        <w:t>责任人</w:t>
      </w:r>
      <w:r>
        <w:rPr>
          <w:rFonts w:ascii="宋体" w:hAnsi="宋体"/>
          <w:color w:val="auto"/>
          <w:szCs w:val="21"/>
          <w:highlight w:val="none"/>
          <w:u w:val="single"/>
        </w:rPr>
        <w:t xml:space="preserve">          </w:t>
      </w:r>
      <w:r>
        <w:rPr>
          <w:rFonts w:ascii="宋体" w:hAnsi="宋体"/>
          <w:color w:val="auto"/>
          <w:szCs w:val="21"/>
          <w:highlight w:val="none"/>
        </w:rPr>
        <w:t>。</w:t>
      </w:r>
    </w:p>
    <w:p w14:paraId="0D3502A3">
      <w:pPr>
        <w:spacing w:line="400" w:lineRule="exact"/>
        <w:ind w:firstLine="435"/>
        <w:rPr>
          <w:rFonts w:ascii="宋体" w:hAnsi="宋体"/>
          <w:color w:val="auto"/>
          <w:szCs w:val="21"/>
          <w:highlight w:val="none"/>
        </w:rPr>
      </w:pPr>
      <w:r>
        <w:rPr>
          <w:rFonts w:ascii="宋体" w:hAnsi="宋体"/>
          <w:color w:val="auto"/>
          <w:szCs w:val="21"/>
          <w:highlight w:val="none"/>
        </w:rPr>
        <w:t>第</w:t>
      </w:r>
      <w:r>
        <w:rPr>
          <w:rFonts w:hint="eastAsia" w:ascii="宋体" w:hAnsi="宋体"/>
          <w:color w:val="auto"/>
          <w:szCs w:val="21"/>
          <w:highlight w:val="none"/>
        </w:rPr>
        <w:t>三</w:t>
      </w:r>
      <w:r>
        <w:rPr>
          <w:rFonts w:ascii="宋体" w:hAnsi="宋体"/>
          <w:color w:val="auto"/>
          <w:szCs w:val="21"/>
          <w:highlight w:val="none"/>
        </w:rPr>
        <w:t>条  甲乙双方的权利和义务</w:t>
      </w:r>
    </w:p>
    <w:p w14:paraId="72AAD5FA">
      <w:pPr>
        <w:spacing w:line="400" w:lineRule="exact"/>
        <w:ind w:firstLine="435"/>
        <w:rPr>
          <w:rFonts w:ascii="宋体" w:hAnsi="宋体"/>
          <w:color w:val="auto"/>
          <w:szCs w:val="21"/>
          <w:highlight w:val="none"/>
        </w:rPr>
      </w:pPr>
      <w:r>
        <w:rPr>
          <w:rFonts w:ascii="宋体" w:hAnsi="宋体"/>
          <w:color w:val="auto"/>
          <w:szCs w:val="20"/>
          <w:highlight w:val="none"/>
        </w:rPr>
        <w:t>(一)</w:t>
      </w:r>
      <w:r>
        <w:rPr>
          <w:rFonts w:ascii="宋体" w:hAnsi="宋体"/>
          <w:color w:val="auto"/>
          <w:szCs w:val="21"/>
          <w:highlight w:val="none"/>
        </w:rPr>
        <w:t>严格遵守国家有关法律、法规及交通部的有关规定。</w:t>
      </w:r>
    </w:p>
    <w:p w14:paraId="2806A874">
      <w:pPr>
        <w:spacing w:line="400" w:lineRule="exact"/>
        <w:ind w:firstLine="435"/>
        <w:rPr>
          <w:rFonts w:ascii="宋体" w:hAnsi="宋体"/>
          <w:color w:val="auto"/>
          <w:szCs w:val="21"/>
          <w:highlight w:val="none"/>
        </w:rPr>
      </w:pPr>
      <w:r>
        <w:rPr>
          <w:rFonts w:ascii="宋体" w:hAnsi="宋体"/>
          <w:color w:val="auto"/>
          <w:szCs w:val="20"/>
          <w:highlight w:val="none"/>
        </w:rPr>
        <w:t>(二)</w:t>
      </w:r>
      <w:r>
        <w:rPr>
          <w:rFonts w:ascii="宋体" w:hAnsi="宋体"/>
          <w:color w:val="auto"/>
          <w:szCs w:val="21"/>
          <w:highlight w:val="none"/>
        </w:rPr>
        <w:t>双方应严格执行工程</w:t>
      </w:r>
      <w:r>
        <w:rPr>
          <w:rFonts w:hint="eastAsia" w:ascii="宋体" w:hAnsi="宋体"/>
          <w:color w:val="auto"/>
          <w:szCs w:val="21"/>
          <w:highlight w:val="none"/>
        </w:rPr>
        <w:t>设计</w:t>
      </w:r>
      <w:r>
        <w:rPr>
          <w:rFonts w:ascii="宋体" w:hAnsi="宋体"/>
          <w:color w:val="auto"/>
          <w:szCs w:val="21"/>
          <w:highlight w:val="none"/>
        </w:rPr>
        <w:t>的合同文件，自觉按合同办事。</w:t>
      </w:r>
    </w:p>
    <w:p w14:paraId="33F744D5">
      <w:pPr>
        <w:spacing w:line="400" w:lineRule="exact"/>
        <w:ind w:firstLine="435"/>
        <w:rPr>
          <w:rFonts w:ascii="宋体" w:hAnsi="宋体"/>
          <w:color w:val="auto"/>
          <w:szCs w:val="21"/>
          <w:highlight w:val="none"/>
        </w:rPr>
      </w:pPr>
      <w:r>
        <w:rPr>
          <w:rFonts w:ascii="宋体" w:hAnsi="宋体"/>
          <w:color w:val="auto"/>
          <w:szCs w:val="20"/>
          <w:highlight w:val="none"/>
        </w:rPr>
        <w:t>(三)</w:t>
      </w:r>
      <w:r>
        <w:rPr>
          <w:rFonts w:ascii="宋体" w:hAnsi="宋体"/>
          <w:color w:val="auto"/>
          <w:szCs w:val="21"/>
          <w:highlight w:val="none"/>
        </w:rPr>
        <w:t>双方的</w:t>
      </w:r>
      <w:r>
        <w:rPr>
          <w:rFonts w:hint="eastAsia" w:ascii="宋体" w:hAnsi="宋体"/>
          <w:color w:val="auto"/>
          <w:szCs w:val="21"/>
          <w:highlight w:val="none"/>
        </w:rPr>
        <w:t>设计</w:t>
      </w:r>
      <w:r>
        <w:rPr>
          <w:rFonts w:ascii="宋体" w:hAnsi="宋体"/>
          <w:color w:val="auto"/>
          <w:szCs w:val="21"/>
          <w:highlight w:val="none"/>
        </w:rPr>
        <w:t>业务活动坚持科学、公正、诚信、平等的原则，不得损害国家、集体的利益，不得违反工程建设管理规章制度。</w:t>
      </w:r>
    </w:p>
    <w:p w14:paraId="124C1E1C">
      <w:pPr>
        <w:spacing w:line="400" w:lineRule="exact"/>
        <w:ind w:firstLine="435"/>
        <w:rPr>
          <w:rFonts w:ascii="宋体" w:hAnsi="宋体"/>
          <w:color w:val="auto"/>
          <w:szCs w:val="21"/>
          <w:highlight w:val="none"/>
        </w:rPr>
      </w:pPr>
      <w:r>
        <w:rPr>
          <w:rFonts w:ascii="宋体" w:hAnsi="宋体"/>
          <w:color w:val="auto"/>
          <w:szCs w:val="20"/>
          <w:highlight w:val="none"/>
        </w:rPr>
        <w:t>(四)</w:t>
      </w:r>
      <w:r>
        <w:rPr>
          <w:rFonts w:ascii="宋体" w:hAnsi="宋体"/>
          <w:color w:val="auto"/>
          <w:szCs w:val="21"/>
          <w:highlight w:val="none"/>
        </w:rPr>
        <w:t>发现对方在</w:t>
      </w:r>
      <w:r>
        <w:rPr>
          <w:rFonts w:hint="eastAsia" w:ascii="宋体" w:hAnsi="宋体"/>
          <w:color w:val="auto"/>
          <w:szCs w:val="21"/>
          <w:highlight w:val="none"/>
        </w:rPr>
        <w:t>设计</w:t>
      </w:r>
      <w:r>
        <w:rPr>
          <w:rFonts w:ascii="宋体" w:hAnsi="宋体"/>
          <w:color w:val="auto"/>
          <w:szCs w:val="21"/>
          <w:highlight w:val="none"/>
        </w:rPr>
        <w:t>业务活动中，有违反有关规定的行为，有及时提醒对方纠正的权利和义务。</w:t>
      </w:r>
    </w:p>
    <w:p w14:paraId="123BCB15">
      <w:pPr>
        <w:spacing w:line="400" w:lineRule="exact"/>
        <w:ind w:firstLine="435"/>
        <w:rPr>
          <w:rFonts w:ascii="宋体" w:hAnsi="宋体"/>
          <w:color w:val="auto"/>
          <w:szCs w:val="21"/>
          <w:highlight w:val="none"/>
        </w:rPr>
      </w:pPr>
      <w:r>
        <w:rPr>
          <w:rFonts w:ascii="宋体" w:hAnsi="宋体"/>
          <w:color w:val="auto"/>
          <w:szCs w:val="20"/>
          <w:highlight w:val="none"/>
        </w:rPr>
        <w:t>(五)</w:t>
      </w:r>
      <w:r>
        <w:rPr>
          <w:rFonts w:ascii="宋体" w:hAnsi="宋体"/>
          <w:color w:val="auto"/>
          <w:szCs w:val="21"/>
          <w:highlight w:val="none"/>
        </w:rPr>
        <w:t>发现对方严重违反</w:t>
      </w:r>
      <w:r>
        <w:rPr>
          <w:rFonts w:hint="eastAsia" w:ascii="宋体" w:hAnsi="宋体"/>
          <w:color w:val="auto"/>
          <w:szCs w:val="21"/>
          <w:highlight w:val="none"/>
        </w:rPr>
        <w:t>设计</w:t>
      </w:r>
      <w:r>
        <w:rPr>
          <w:rFonts w:ascii="宋体" w:hAnsi="宋体"/>
          <w:color w:val="auto"/>
          <w:szCs w:val="21"/>
          <w:highlight w:val="none"/>
        </w:rPr>
        <w:t>合同文件的行为，有向其上级有关部门举报、建议给予处理并要求告知处理结果的权利。</w:t>
      </w:r>
    </w:p>
    <w:p w14:paraId="42422C1A">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四</w:t>
      </w:r>
      <w:r>
        <w:rPr>
          <w:rFonts w:ascii="宋体" w:hAnsi="宋体"/>
          <w:color w:val="auto"/>
          <w:szCs w:val="20"/>
          <w:highlight w:val="none"/>
        </w:rPr>
        <w:t>条  甲方的义务</w:t>
      </w:r>
    </w:p>
    <w:p w14:paraId="022C4057">
      <w:pPr>
        <w:spacing w:line="400" w:lineRule="exact"/>
        <w:ind w:firstLine="435"/>
        <w:rPr>
          <w:rFonts w:ascii="宋体" w:hAnsi="宋体"/>
          <w:color w:val="auto"/>
          <w:szCs w:val="20"/>
          <w:highlight w:val="none"/>
        </w:rPr>
      </w:pPr>
      <w:r>
        <w:rPr>
          <w:rFonts w:ascii="宋体" w:hAnsi="宋体"/>
          <w:color w:val="auto"/>
          <w:szCs w:val="20"/>
          <w:highlight w:val="none"/>
        </w:rPr>
        <w:t>(一)甲方向乙方及时提供编制</w:t>
      </w:r>
      <w:r>
        <w:rPr>
          <w:rFonts w:hint="eastAsia" w:ascii="宋体" w:hAnsi="宋体"/>
          <w:color w:val="auto"/>
          <w:szCs w:val="20"/>
          <w:highlight w:val="none"/>
        </w:rPr>
        <w:t>设计</w:t>
      </w:r>
      <w:r>
        <w:rPr>
          <w:rFonts w:ascii="宋体" w:hAnsi="宋体"/>
          <w:color w:val="auto"/>
          <w:szCs w:val="20"/>
          <w:highlight w:val="none"/>
        </w:rPr>
        <w:t>文件所必须的基础资料和有关文件。</w:t>
      </w:r>
    </w:p>
    <w:p w14:paraId="50D125A6">
      <w:pPr>
        <w:spacing w:line="400" w:lineRule="exact"/>
        <w:ind w:firstLine="435"/>
        <w:rPr>
          <w:rFonts w:ascii="宋体" w:hAnsi="宋体"/>
          <w:color w:val="auto"/>
          <w:szCs w:val="20"/>
          <w:highlight w:val="none"/>
        </w:rPr>
      </w:pPr>
      <w:r>
        <w:rPr>
          <w:rFonts w:ascii="宋体" w:hAnsi="宋体"/>
          <w:color w:val="auto"/>
          <w:szCs w:val="20"/>
          <w:highlight w:val="none"/>
        </w:rPr>
        <w:t>甲方提供的基础资料和有关文件必须真实、准确、齐全，甲方应对提供的文件资料负责。</w:t>
      </w:r>
    </w:p>
    <w:p w14:paraId="5E01D726">
      <w:pPr>
        <w:spacing w:line="400" w:lineRule="exact"/>
        <w:ind w:firstLine="435"/>
        <w:rPr>
          <w:rFonts w:ascii="宋体" w:hAnsi="宋体"/>
          <w:color w:val="auto"/>
          <w:szCs w:val="20"/>
          <w:highlight w:val="none"/>
        </w:rPr>
      </w:pPr>
      <w:r>
        <w:rPr>
          <w:rFonts w:ascii="宋体" w:hAnsi="宋体"/>
          <w:color w:val="auto"/>
          <w:szCs w:val="20"/>
          <w:highlight w:val="none"/>
        </w:rPr>
        <w:t>(二)甲方不得指使乙方不按法律、法规、工程建设强制性标准和设计程序进行</w:t>
      </w:r>
      <w:r>
        <w:rPr>
          <w:rFonts w:hint="eastAsia" w:ascii="宋体" w:hAnsi="宋体"/>
          <w:color w:val="auto"/>
          <w:szCs w:val="20"/>
          <w:highlight w:val="none"/>
        </w:rPr>
        <w:t>设计</w:t>
      </w:r>
      <w:r>
        <w:rPr>
          <w:rFonts w:ascii="宋体" w:hAnsi="宋体"/>
          <w:color w:val="auto"/>
          <w:szCs w:val="20"/>
          <w:highlight w:val="none"/>
        </w:rPr>
        <w:t>。并保证乙方有与本工程规模和技术要求相适应的设计时间。</w:t>
      </w:r>
    </w:p>
    <w:p w14:paraId="677A4ABD">
      <w:pPr>
        <w:spacing w:line="400" w:lineRule="exact"/>
        <w:ind w:firstLine="435"/>
        <w:rPr>
          <w:rFonts w:ascii="宋体" w:hAnsi="宋体"/>
          <w:color w:val="auto"/>
          <w:szCs w:val="20"/>
          <w:highlight w:val="none"/>
        </w:rPr>
      </w:pPr>
      <w:r>
        <w:rPr>
          <w:rFonts w:ascii="宋体" w:hAnsi="宋体"/>
          <w:color w:val="auto"/>
          <w:szCs w:val="20"/>
          <w:highlight w:val="none"/>
        </w:rPr>
        <w:t>(三)甲方不得明示或暗示向乙方推荐单位和个人承包或分包本工程项目的</w:t>
      </w:r>
      <w:r>
        <w:rPr>
          <w:rFonts w:hint="eastAsia" w:ascii="宋体" w:hAnsi="宋体"/>
          <w:color w:val="auto"/>
          <w:szCs w:val="20"/>
          <w:highlight w:val="none"/>
        </w:rPr>
        <w:t>设计</w:t>
      </w:r>
      <w:r>
        <w:rPr>
          <w:rFonts w:ascii="宋体" w:hAnsi="宋体"/>
          <w:color w:val="auto"/>
          <w:szCs w:val="20"/>
          <w:highlight w:val="none"/>
        </w:rPr>
        <w:t>任务。</w:t>
      </w:r>
    </w:p>
    <w:p w14:paraId="42469EF0">
      <w:pPr>
        <w:spacing w:line="400" w:lineRule="exact"/>
        <w:ind w:firstLine="435"/>
        <w:rPr>
          <w:rFonts w:ascii="宋体" w:hAnsi="宋体"/>
          <w:color w:val="auto"/>
          <w:szCs w:val="20"/>
          <w:highlight w:val="none"/>
        </w:rPr>
      </w:pPr>
      <w:r>
        <w:rPr>
          <w:rFonts w:ascii="宋体" w:hAnsi="宋体"/>
          <w:color w:val="auto"/>
          <w:szCs w:val="20"/>
          <w:highlight w:val="none"/>
        </w:rPr>
        <w:t>(四)甲方未经乙方同意，不得擅自修改</w:t>
      </w:r>
      <w:r>
        <w:rPr>
          <w:rFonts w:hint="eastAsia" w:ascii="宋体" w:hAnsi="宋体"/>
          <w:color w:val="auto"/>
          <w:szCs w:val="20"/>
          <w:highlight w:val="none"/>
        </w:rPr>
        <w:t>设计</w:t>
      </w:r>
      <w:r>
        <w:rPr>
          <w:rFonts w:ascii="宋体" w:hAnsi="宋体"/>
          <w:color w:val="auto"/>
          <w:szCs w:val="20"/>
          <w:highlight w:val="none"/>
        </w:rPr>
        <w:t>文件。</w:t>
      </w:r>
    </w:p>
    <w:p w14:paraId="11721A7F">
      <w:pPr>
        <w:spacing w:line="400" w:lineRule="exact"/>
        <w:ind w:firstLine="435"/>
        <w:rPr>
          <w:rFonts w:ascii="宋体" w:hAnsi="宋体"/>
          <w:color w:val="auto"/>
          <w:szCs w:val="20"/>
          <w:highlight w:val="none"/>
        </w:rPr>
      </w:pPr>
      <w:r>
        <w:rPr>
          <w:rFonts w:ascii="宋体" w:hAnsi="宋体"/>
          <w:color w:val="auto"/>
          <w:szCs w:val="20"/>
          <w:highlight w:val="none"/>
        </w:rPr>
        <w:t>(五)甲方在开工前应及时组织施工设计图审查和设计交底，交</w:t>
      </w:r>
      <w:r>
        <w:rPr>
          <w:rFonts w:hint="eastAsia" w:ascii="宋体" w:hAnsi="宋体"/>
          <w:color w:val="auto"/>
          <w:szCs w:val="20"/>
          <w:highlight w:val="none"/>
        </w:rPr>
        <w:t>、竣</w:t>
      </w:r>
      <w:r>
        <w:rPr>
          <w:rFonts w:ascii="宋体" w:hAnsi="宋体"/>
          <w:color w:val="auto"/>
          <w:szCs w:val="20"/>
          <w:highlight w:val="none"/>
        </w:rPr>
        <w:t>工验收应邀请乙方参加。</w:t>
      </w:r>
    </w:p>
    <w:p w14:paraId="2A81DD50">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五</w:t>
      </w:r>
      <w:r>
        <w:rPr>
          <w:rFonts w:ascii="宋体" w:hAnsi="宋体"/>
          <w:color w:val="auto"/>
          <w:szCs w:val="20"/>
          <w:highlight w:val="none"/>
        </w:rPr>
        <w:t>条  乙方的义务</w:t>
      </w:r>
    </w:p>
    <w:p w14:paraId="4892FE79">
      <w:pPr>
        <w:spacing w:line="400" w:lineRule="exact"/>
        <w:ind w:firstLine="435"/>
        <w:rPr>
          <w:rFonts w:ascii="宋体" w:hAnsi="宋体"/>
          <w:color w:val="auto"/>
          <w:szCs w:val="20"/>
          <w:highlight w:val="none"/>
        </w:rPr>
      </w:pPr>
      <w:r>
        <w:rPr>
          <w:rFonts w:ascii="宋体" w:hAnsi="宋体"/>
          <w:color w:val="auto"/>
          <w:szCs w:val="20"/>
          <w:highlight w:val="none"/>
        </w:rPr>
        <w:t>(一)乙方应具备与本建设工程项目相应等级的设计资质证书。</w:t>
      </w:r>
    </w:p>
    <w:p w14:paraId="676B0B7C">
      <w:pPr>
        <w:spacing w:line="400" w:lineRule="exact"/>
        <w:ind w:firstLine="435"/>
        <w:rPr>
          <w:rFonts w:ascii="宋体" w:hAnsi="宋体"/>
          <w:color w:val="auto"/>
          <w:szCs w:val="20"/>
          <w:highlight w:val="none"/>
        </w:rPr>
      </w:pPr>
      <w:r>
        <w:rPr>
          <w:rFonts w:ascii="宋体" w:hAnsi="宋体"/>
          <w:color w:val="auto"/>
          <w:szCs w:val="20"/>
          <w:highlight w:val="none"/>
        </w:rPr>
        <w:t>(二)乙方不得允许其它单位或个人以乙方的名义承揽本工程项目的</w:t>
      </w:r>
      <w:r>
        <w:rPr>
          <w:rFonts w:hint="eastAsia" w:ascii="宋体" w:hAnsi="宋体"/>
          <w:color w:val="auto"/>
          <w:szCs w:val="20"/>
          <w:highlight w:val="none"/>
        </w:rPr>
        <w:t>设计</w:t>
      </w:r>
      <w:r>
        <w:rPr>
          <w:rFonts w:ascii="宋体" w:hAnsi="宋体"/>
          <w:color w:val="auto"/>
          <w:szCs w:val="20"/>
          <w:highlight w:val="none"/>
        </w:rPr>
        <w:t>任务，不得转包或违法分包所承揽的本工程项目的</w:t>
      </w:r>
      <w:r>
        <w:rPr>
          <w:rFonts w:hint="eastAsia" w:ascii="宋体" w:hAnsi="宋体"/>
          <w:color w:val="auto"/>
          <w:szCs w:val="20"/>
          <w:highlight w:val="none"/>
        </w:rPr>
        <w:t>设计</w:t>
      </w:r>
      <w:r>
        <w:rPr>
          <w:rFonts w:ascii="宋体" w:hAnsi="宋体"/>
          <w:color w:val="auto"/>
          <w:szCs w:val="20"/>
          <w:highlight w:val="none"/>
        </w:rPr>
        <w:t>任务。</w:t>
      </w:r>
    </w:p>
    <w:p w14:paraId="0CF0A4D1">
      <w:pPr>
        <w:spacing w:line="400" w:lineRule="exact"/>
        <w:ind w:firstLine="435"/>
        <w:rPr>
          <w:rFonts w:ascii="宋体" w:hAnsi="宋体"/>
          <w:color w:val="auto"/>
          <w:szCs w:val="20"/>
          <w:highlight w:val="none"/>
        </w:rPr>
      </w:pPr>
      <w:r>
        <w:rPr>
          <w:rFonts w:ascii="宋体" w:hAnsi="宋体"/>
          <w:color w:val="auto"/>
          <w:szCs w:val="20"/>
          <w:highlight w:val="none"/>
        </w:rPr>
        <w:t>(三)乙方必须按照工程建设强制标准进行勘察、设计。勘察提供的地质、测量、水文等成果必须真实、准确、全面，并对</w:t>
      </w:r>
      <w:r>
        <w:rPr>
          <w:rFonts w:hint="eastAsia" w:ascii="宋体" w:hAnsi="宋体"/>
          <w:color w:val="auto"/>
          <w:szCs w:val="20"/>
          <w:highlight w:val="none"/>
        </w:rPr>
        <w:t>设计</w:t>
      </w:r>
      <w:r>
        <w:rPr>
          <w:rFonts w:ascii="宋体" w:hAnsi="宋体"/>
          <w:color w:val="auto"/>
          <w:szCs w:val="20"/>
          <w:highlight w:val="none"/>
        </w:rPr>
        <w:t>的质量负责。</w:t>
      </w:r>
    </w:p>
    <w:p w14:paraId="0193797D">
      <w:pPr>
        <w:spacing w:line="400" w:lineRule="exact"/>
        <w:ind w:firstLine="435"/>
        <w:rPr>
          <w:rFonts w:ascii="宋体" w:hAnsi="宋体"/>
          <w:color w:val="auto"/>
          <w:szCs w:val="20"/>
          <w:highlight w:val="none"/>
        </w:rPr>
      </w:pPr>
      <w:r>
        <w:rPr>
          <w:rFonts w:ascii="宋体" w:hAnsi="宋体"/>
          <w:color w:val="auto"/>
          <w:szCs w:val="20"/>
          <w:highlight w:val="none"/>
        </w:rPr>
        <w:t>(四)乙方提供的设计文件必须符合下列要求：</w:t>
      </w:r>
    </w:p>
    <w:p w14:paraId="3770A0E9">
      <w:pPr>
        <w:spacing w:line="400" w:lineRule="exact"/>
        <w:ind w:firstLine="435"/>
        <w:rPr>
          <w:rFonts w:ascii="宋体" w:hAnsi="宋体"/>
          <w:color w:val="auto"/>
          <w:szCs w:val="20"/>
          <w:highlight w:val="none"/>
        </w:rPr>
      </w:pPr>
      <w:r>
        <w:rPr>
          <w:rFonts w:ascii="宋体" w:hAnsi="宋体"/>
          <w:color w:val="auto"/>
          <w:szCs w:val="20"/>
          <w:highlight w:val="none"/>
        </w:rPr>
        <w:t>1</w:t>
      </w:r>
      <w:r>
        <w:rPr>
          <w:rFonts w:hint="eastAsia" w:ascii="宋体" w:hAnsi="宋体"/>
          <w:color w:val="auto"/>
          <w:szCs w:val="20"/>
          <w:highlight w:val="none"/>
        </w:rPr>
        <w:t>.</w:t>
      </w:r>
      <w:r>
        <w:rPr>
          <w:rFonts w:ascii="宋体" w:hAnsi="宋体"/>
          <w:color w:val="auto"/>
          <w:szCs w:val="20"/>
          <w:highlight w:val="none"/>
        </w:rPr>
        <w:t>设计文件的编制应该符合有关公路工程建设法律、规章、标准、规程和合同的要求；</w:t>
      </w:r>
    </w:p>
    <w:p w14:paraId="3A131009">
      <w:pPr>
        <w:spacing w:line="400" w:lineRule="exact"/>
        <w:ind w:firstLine="435"/>
        <w:rPr>
          <w:rFonts w:ascii="宋体" w:hAnsi="宋体"/>
          <w:color w:val="auto"/>
          <w:szCs w:val="20"/>
          <w:highlight w:val="none"/>
        </w:rPr>
      </w:pPr>
      <w:r>
        <w:rPr>
          <w:rFonts w:ascii="宋体" w:hAnsi="宋体"/>
          <w:color w:val="auto"/>
          <w:szCs w:val="20"/>
          <w:highlight w:val="none"/>
        </w:rPr>
        <w:t>2</w:t>
      </w:r>
      <w:r>
        <w:rPr>
          <w:rFonts w:hint="eastAsia" w:ascii="宋体" w:hAnsi="宋体"/>
          <w:color w:val="auto"/>
          <w:szCs w:val="20"/>
          <w:highlight w:val="none"/>
        </w:rPr>
        <w:t>.</w:t>
      </w:r>
      <w:r>
        <w:rPr>
          <w:rFonts w:ascii="宋体" w:hAnsi="宋体"/>
          <w:color w:val="auto"/>
          <w:szCs w:val="20"/>
          <w:highlight w:val="none"/>
        </w:rPr>
        <w:t>设计依据的基本资料应完整、准确，设计方案论证充分，计算成果可靠，并符合结构安全要求；</w:t>
      </w:r>
    </w:p>
    <w:p w14:paraId="0CED5A4D">
      <w:pPr>
        <w:spacing w:line="400" w:lineRule="exact"/>
        <w:ind w:firstLine="435"/>
        <w:rPr>
          <w:rFonts w:ascii="宋体" w:hAnsi="宋体"/>
          <w:color w:val="auto"/>
          <w:szCs w:val="20"/>
          <w:highlight w:val="none"/>
        </w:rPr>
      </w:pPr>
      <w:r>
        <w:rPr>
          <w:rFonts w:ascii="宋体" w:hAnsi="宋体"/>
          <w:color w:val="auto"/>
          <w:szCs w:val="20"/>
          <w:highlight w:val="none"/>
        </w:rPr>
        <w:t>3</w:t>
      </w:r>
      <w:r>
        <w:rPr>
          <w:rFonts w:hint="eastAsia" w:ascii="宋体" w:hAnsi="宋体"/>
          <w:color w:val="auto"/>
          <w:szCs w:val="20"/>
          <w:highlight w:val="none"/>
        </w:rPr>
        <w:t>.</w:t>
      </w:r>
      <w:r>
        <w:rPr>
          <w:rFonts w:ascii="宋体" w:hAnsi="宋体"/>
          <w:color w:val="auto"/>
          <w:szCs w:val="20"/>
          <w:highlight w:val="none"/>
        </w:rPr>
        <w:t>设计的深度应满足相应设计阶段的有关规定要求，并符合相关规范的要求；</w:t>
      </w:r>
    </w:p>
    <w:p w14:paraId="54CEBB35">
      <w:pPr>
        <w:spacing w:line="400" w:lineRule="exact"/>
        <w:ind w:firstLine="435"/>
        <w:rPr>
          <w:rFonts w:ascii="宋体" w:hAnsi="宋体"/>
          <w:color w:val="auto"/>
          <w:szCs w:val="20"/>
          <w:highlight w:val="none"/>
        </w:rPr>
      </w:pPr>
      <w:r>
        <w:rPr>
          <w:rFonts w:ascii="宋体" w:hAnsi="宋体"/>
          <w:color w:val="auto"/>
          <w:szCs w:val="20"/>
          <w:highlight w:val="none"/>
        </w:rPr>
        <w:t>4</w:t>
      </w:r>
      <w:r>
        <w:rPr>
          <w:rFonts w:hint="eastAsia" w:ascii="宋体" w:hAnsi="宋体"/>
          <w:color w:val="auto"/>
          <w:szCs w:val="20"/>
          <w:highlight w:val="none"/>
        </w:rPr>
        <w:t>.</w:t>
      </w:r>
      <w:r>
        <w:rPr>
          <w:rFonts w:ascii="宋体" w:hAnsi="宋体"/>
          <w:color w:val="auto"/>
          <w:szCs w:val="20"/>
          <w:highlight w:val="none"/>
        </w:rPr>
        <w:t>设计必须保证公路或水运工程质量和安全的要求，符合安全、经济、美观的综合要求。同时，应满足本项目实现质量目标的要求；</w:t>
      </w:r>
    </w:p>
    <w:p w14:paraId="6A8DDADC">
      <w:pPr>
        <w:spacing w:line="400" w:lineRule="exact"/>
        <w:ind w:firstLine="435"/>
        <w:rPr>
          <w:rFonts w:ascii="宋体" w:hAnsi="宋体"/>
          <w:color w:val="auto"/>
          <w:szCs w:val="20"/>
          <w:highlight w:val="none"/>
        </w:rPr>
      </w:pPr>
      <w:r>
        <w:rPr>
          <w:rFonts w:ascii="宋体" w:hAnsi="宋体"/>
          <w:color w:val="auto"/>
          <w:szCs w:val="20"/>
          <w:highlight w:val="none"/>
        </w:rPr>
        <w:t>5</w:t>
      </w:r>
      <w:r>
        <w:rPr>
          <w:rFonts w:hint="eastAsia" w:ascii="宋体" w:hAnsi="宋体"/>
          <w:color w:val="auto"/>
          <w:szCs w:val="20"/>
          <w:highlight w:val="none"/>
        </w:rPr>
        <w:t>.</w:t>
      </w:r>
      <w:r>
        <w:rPr>
          <w:rFonts w:ascii="宋体" w:hAnsi="宋体"/>
          <w:color w:val="auto"/>
          <w:szCs w:val="20"/>
          <w:highlight w:val="none"/>
        </w:rPr>
        <w:t>设计选用的材料、配件和设备等，应当注明其性能及技术标准，其质量必须符合国家规定的标准，但不得指定生产厂家、供应商。</w:t>
      </w:r>
    </w:p>
    <w:p w14:paraId="5F8CEDF8">
      <w:pPr>
        <w:spacing w:line="400" w:lineRule="exact"/>
        <w:ind w:firstLine="435"/>
        <w:rPr>
          <w:rFonts w:ascii="宋体" w:hAnsi="宋体"/>
          <w:color w:val="auto"/>
          <w:szCs w:val="20"/>
          <w:highlight w:val="none"/>
        </w:rPr>
      </w:pPr>
      <w:r>
        <w:rPr>
          <w:rFonts w:ascii="宋体" w:hAnsi="宋体"/>
          <w:color w:val="auto"/>
          <w:szCs w:val="20"/>
          <w:highlight w:val="none"/>
        </w:rPr>
        <w:t>(五)乙方必须建立健全设计质量保证体系，具备设计全过程质量控制的措施，建立完整的设计文件的编制、复核、审核、会签制度，明确各阶段的负责人，并对设计质量负责。</w:t>
      </w:r>
    </w:p>
    <w:p w14:paraId="0F1D7D67">
      <w:pPr>
        <w:spacing w:line="400" w:lineRule="exact"/>
        <w:ind w:firstLine="435"/>
        <w:rPr>
          <w:rFonts w:ascii="宋体" w:hAnsi="宋体"/>
          <w:color w:val="auto"/>
          <w:szCs w:val="20"/>
          <w:highlight w:val="none"/>
        </w:rPr>
      </w:pPr>
      <w:r>
        <w:rPr>
          <w:rFonts w:ascii="宋体" w:hAnsi="宋体"/>
          <w:color w:val="auto"/>
          <w:szCs w:val="20"/>
          <w:highlight w:val="none"/>
        </w:rPr>
        <w:t>(六)乙方应按合同规定的时间，及时提供设计文件及施工图纸，并在开工前应做好设计交底工作。</w:t>
      </w:r>
    </w:p>
    <w:p w14:paraId="66BA0B9F">
      <w:pPr>
        <w:spacing w:line="400" w:lineRule="exact"/>
        <w:ind w:firstLine="435"/>
        <w:rPr>
          <w:rFonts w:ascii="宋体" w:hAnsi="宋体"/>
          <w:color w:val="auto"/>
          <w:szCs w:val="20"/>
          <w:highlight w:val="none"/>
        </w:rPr>
      </w:pPr>
      <w:r>
        <w:rPr>
          <w:rFonts w:ascii="宋体" w:hAnsi="宋体"/>
          <w:color w:val="auto"/>
          <w:szCs w:val="20"/>
          <w:highlight w:val="none"/>
        </w:rPr>
        <w:t>(七)乙方应及时参加交</w:t>
      </w:r>
      <w:r>
        <w:rPr>
          <w:rFonts w:hint="eastAsia" w:ascii="宋体" w:hAnsi="宋体"/>
          <w:color w:val="auto"/>
          <w:szCs w:val="20"/>
          <w:highlight w:val="none"/>
        </w:rPr>
        <w:t>、竣</w:t>
      </w:r>
      <w:r>
        <w:rPr>
          <w:rFonts w:ascii="宋体" w:hAnsi="宋体"/>
          <w:color w:val="auto"/>
          <w:szCs w:val="20"/>
          <w:highlight w:val="none"/>
        </w:rPr>
        <w:t>工验收，并对工程质量是否满足设计要求提出客观、公正的评价。</w:t>
      </w:r>
    </w:p>
    <w:p w14:paraId="76A40D8D">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六</w:t>
      </w:r>
      <w:r>
        <w:rPr>
          <w:rFonts w:ascii="宋体" w:hAnsi="宋体"/>
          <w:color w:val="auto"/>
          <w:szCs w:val="20"/>
          <w:highlight w:val="none"/>
        </w:rPr>
        <w:t>条  违约责任</w:t>
      </w:r>
    </w:p>
    <w:p w14:paraId="2E62BD41">
      <w:pPr>
        <w:spacing w:line="400" w:lineRule="exact"/>
        <w:ind w:firstLine="435"/>
        <w:rPr>
          <w:rFonts w:ascii="宋体" w:hAnsi="宋体"/>
          <w:color w:val="auto"/>
          <w:szCs w:val="20"/>
          <w:highlight w:val="none"/>
        </w:rPr>
      </w:pPr>
      <w:r>
        <w:rPr>
          <w:rFonts w:ascii="宋体" w:hAnsi="宋体"/>
          <w:color w:val="auto"/>
          <w:szCs w:val="20"/>
          <w:highlight w:val="none"/>
        </w:rPr>
        <w:t>(一)甲方及其工作人员违反本合同第四、五条，按管理权限，依据国务院《建设工程质量管理条例》《浙江省交通建设工程质量和安全生产管理条例》有关规定给予相应的处罚；涉嫌犯罪的，依法追究刑事责任；给乙方单位造成经济损失的，应予以赔偿。</w:t>
      </w:r>
    </w:p>
    <w:p w14:paraId="3F219561">
      <w:pPr>
        <w:spacing w:line="400" w:lineRule="exact"/>
        <w:ind w:firstLine="435"/>
        <w:rPr>
          <w:rFonts w:ascii="宋体" w:hAnsi="宋体"/>
          <w:color w:val="auto"/>
          <w:szCs w:val="20"/>
          <w:highlight w:val="none"/>
        </w:rPr>
      </w:pPr>
      <w:r>
        <w:rPr>
          <w:rFonts w:ascii="宋体" w:hAnsi="宋体"/>
          <w:color w:val="auto"/>
          <w:szCs w:val="20"/>
          <w:highlight w:val="none"/>
        </w:rPr>
        <w:t>(二)乙方及其工作人员违反本合同第四、六条，按管理权限，依据国务院《建设工程质量管理条例》有关规定给予相应的处罚；涉嫌犯罪的，依法追究刑事责任；给甲方单位造成经济损失的，应予以赔偿。</w:t>
      </w:r>
    </w:p>
    <w:p w14:paraId="6C5590D7">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七</w:t>
      </w:r>
      <w:r>
        <w:rPr>
          <w:rFonts w:ascii="宋体" w:hAnsi="宋体"/>
          <w:color w:val="auto"/>
          <w:szCs w:val="20"/>
          <w:highlight w:val="none"/>
        </w:rPr>
        <w:t>条  本合同由双方法定代表人或其授权的代理人签署与加盖公章后生效，有效期为甲乙双方自签署之日起至乙方完成全部</w:t>
      </w:r>
      <w:r>
        <w:rPr>
          <w:rFonts w:hint="eastAsia" w:ascii="宋体" w:hAnsi="宋体"/>
          <w:color w:val="auto"/>
          <w:szCs w:val="20"/>
          <w:highlight w:val="none"/>
        </w:rPr>
        <w:t>设计</w:t>
      </w:r>
      <w:r>
        <w:rPr>
          <w:rFonts w:ascii="宋体" w:hAnsi="宋体"/>
          <w:color w:val="auto"/>
          <w:szCs w:val="20"/>
          <w:highlight w:val="none"/>
        </w:rPr>
        <w:t>工作且</w:t>
      </w:r>
      <w:r>
        <w:rPr>
          <w:rFonts w:hint="eastAsia" w:ascii="宋体" w:hAnsi="宋体"/>
          <w:color w:val="auto"/>
          <w:szCs w:val="20"/>
          <w:highlight w:val="none"/>
        </w:rPr>
        <w:t>设计</w:t>
      </w:r>
      <w:r>
        <w:rPr>
          <w:rFonts w:ascii="宋体" w:hAnsi="宋体"/>
          <w:color w:val="auto"/>
          <w:szCs w:val="20"/>
          <w:highlight w:val="none"/>
        </w:rPr>
        <w:t>费用结清后失效。</w:t>
      </w:r>
    </w:p>
    <w:p w14:paraId="5A550D79">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八</w:t>
      </w:r>
      <w:r>
        <w:rPr>
          <w:rFonts w:ascii="宋体" w:hAnsi="宋体"/>
          <w:color w:val="auto"/>
          <w:szCs w:val="20"/>
          <w:highlight w:val="none"/>
        </w:rPr>
        <w:t>条  本合同作为</w:t>
      </w:r>
      <w:r>
        <w:rPr>
          <w:rFonts w:hint="eastAsia" w:ascii="宋体" w:hAnsi="宋体" w:cs="宋体"/>
          <w:color w:val="auto"/>
          <w:szCs w:val="21"/>
          <w:highlight w:val="none"/>
        </w:rPr>
        <w:t>本工程合同协议书的</w:t>
      </w:r>
      <w:r>
        <w:rPr>
          <w:rFonts w:ascii="宋体" w:hAnsi="宋体"/>
          <w:color w:val="auto"/>
          <w:szCs w:val="20"/>
          <w:highlight w:val="none"/>
        </w:rPr>
        <w:t>附件。</w:t>
      </w:r>
    </w:p>
    <w:p w14:paraId="0CA52D91">
      <w:pPr>
        <w:spacing w:line="400" w:lineRule="exact"/>
        <w:ind w:firstLine="435"/>
        <w:rPr>
          <w:rFonts w:ascii="宋体" w:hAnsi="宋体"/>
          <w:color w:val="auto"/>
          <w:szCs w:val="20"/>
          <w:highlight w:val="none"/>
        </w:rPr>
      </w:pPr>
      <w:r>
        <w:rPr>
          <w:rFonts w:ascii="宋体" w:hAnsi="宋体"/>
          <w:color w:val="auto"/>
          <w:szCs w:val="20"/>
          <w:highlight w:val="none"/>
        </w:rPr>
        <w:t>第</w:t>
      </w:r>
      <w:r>
        <w:rPr>
          <w:rFonts w:hint="eastAsia" w:ascii="宋体" w:hAnsi="宋体"/>
          <w:color w:val="auto"/>
          <w:szCs w:val="20"/>
          <w:highlight w:val="none"/>
        </w:rPr>
        <w:t>九</w:t>
      </w:r>
      <w:r>
        <w:rPr>
          <w:rFonts w:ascii="宋体" w:hAnsi="宋体"/>
          <w:color w:val="auto"/>
          <w:szCs w:val="20"/>
          <w:highlight w:val="none"/>
        </w:rPr>
        <w:t>条  本合同</w:t>
      </w:r>
      <w:r>
        <w:rPr>
          <w:rFonts w:hint="eastAsia" w:ascii="宋体" w:hAnsi="宋体"/>
          <w:color w:val="auto"/>
          <w:szCs w:val="20"/>
          <w:highlight w:val="none"/>
        </w:rPr>
        <w:t>正本</w:t>
      </w:r>
      <w:r>
        <w:rPr>
          <w:rFonts w:hint="eastAsia" w:ascii="宋体" w:hAnsi="宋体"/>
          <w:color w:val="auto"/>
          <w:szCs w:val="20"/>
          <w:highlight w:val="none"/>
          <w:u w:val="single"/>
        </w:rPr>
        <w:t xml:space="preserve">    </w:t>
      </w:r>
      <w:r>
        <w:rPr>
          <w:rFonts w:hint="eastAsia" w:ascii="宋体" w:hAnsi="宋体"/>
          <w:color w:val="auto"/>
          <w:szCs w:val="20"/>
          <w:highlight w:val="none"/>
        </w:rPr>
        <w:t>份，合同各</w:t>
      </w:r>
      <w:r>
        <w:rPr>
          <w:rFonts w:ascii="宋体" w:hAnsi="宋体"/>
          <w:color w:val="auto"/>
          <w:szCs w:val="20"/>
          <w:highlight w:val="none"/>
        </w:rPr>
        <w:t>方各执</w:t>
      </w:r>
      <w:r>
        <w:rPr>
          <w:rFonts w:hint="eastAsia" w:ascii="宋体" w:hAnsi="宋体"/>
          <w:color w:val="auto"/>
          <w:szCs w:val="20"/>
          <w:highlight w:val="none"/>
        </w:rPr>
        <w:t>正本</w:t>
      </w:r>
      <w:r>
        <w:rPr>
          <w:rFonts w:ascii="宋体" w:hAnsi="宋体"/>
          <w:color w:val="auto"/>
          <w:szCs w:val="20"/>
          <w:highlight w:val="none"/>
        </w:rPr>
        <w:t>一份，</w:t>
      </w:r>
      <w:r>
        <w:rPr>
          <w:rFonts w:hint="eastAsia" w:ascii="宋体" w:hAnsi="宋体"/>
          <w:color w:val="auto"/>
          <w:szCs w:val="20"/>
          <w:highlight w:val="none"/>
        </w:rPr>
        <w:t>副本需要各</w:t>
      </w:r>
      <w:r>
        <w:rPr>
          <w:rFonts w:ascii="宋体" w:hAnsi="宋体"/>
          <w:color w:val="auto"/>
          <w:szCs w:val="20"/>
          <w:highlight w:val="none"/>
        </w:rPr>
        <w:t>自需要复印</w:t>
      </w:r>
      <w:r>
        <w:rPr>
          <w:rFonts w:hint="eastAsia" w:ascii="宋体" w:hAnsi="宋体"/>
          <w:color w:val="auto"/>
          <w:szCs w:val="20"/>
          <w:highlight w:val="none"/>
        </w:rPr>
        <w:t>，当正本与副本的内容不一致时，以正本为准</w:t>
      </w:r>
      <w:r>
        <w:rPr>
          <w:rFonts w:ascii="宋体" w:hAnsi="宋体"/>
          <w:color w:val="auto"/>
          <w:szCs w:val="20"/>
          <w:highlight w:val="none"/>
        </w:rPr>
        <w:t>。</w:t>
      </w:r>
    </w:p>
    <w:p w14:paraId="5ACB6C7F">
      <w:pPr>
        <w:spacing w:line="400" w:lineRule="exact"/>
        <w:ind w:firstLine="435"/>
        <w:rPr>
          <w:rFonts w:ascii="宋体" w:hAnsi="宋体"/>
          <w:color w:val="auto"/>
          <w:szCs w:val="20"/>
          <w:highlight w:val="none"/>
        </w:rPr>
      </w:pPr>
    </w:p>
    <w:p w14:paraId="02A8E3DB">
      <w:pPr>
        <w:pStyle w:val="14"/>
        <w:widowControl/>
        <w:snapToGrid w:val="0"/>
        <w:spacing w:line="460" w:lineRule="exact"/>
        <w:jc w:val="left"/>
        <w:rPr>
          <w:rFonts w:ascii="宋体" w:hAnsi="宋体" w:cs="宋体"/>
          <w:bCs/>
          <w:color w:val="auto"/>
          <w:szCs w:val="21"/>
          <w:highlight w:val="none"/>
        </w:rPr>
      </w:pPr>
      <w:r>
        <w:rPr>
          <w:rFonts w:hint="eastAsia" w:ascii="宋体" w:hAnsi="宋体" w:cs="宋体"/>
          <w:bCs/>
          <w:color w:val="auto"/>
          <w:szCs w:val="21"/>
          <w:highlight w:val="none"/>
        </w:rPr>
        <w:t>甲方：</w:t>
      </w:r>
      <w:r>
        <w:rPr>
          <w:rFonts w:hint="eastAsia" w:ascii="宋体" w:hAnsi="宋体" w:cs="宋体"/>
          <w:bCs/>
          <w:color w:val="auto"/>
          <w:szCs w:val="21"/>
          <w:highlight w:val="none"/>
          <w:u w:val="single"/>
        </w:rPr>
        <w:t xml:space="preserve">                  （签章）</w:t>
      </w:r>
      <w:r>
        <w:rPr>
          <w:rFonts w:hint="eastAsia" w:ascii="宋体" w:hAnsi="宋体" w:cs="宋体"/>
          <w:bCs/>
          <w:color w:val="auto"/>
          <w:szCs w:val="21"/>
          <w:highlight w:val="none"/>
        </w:rPr>
        <w:t xml:space="preserve"> </w:t>
      </w:r>
    </w:p>
    <w:p w14:paraId="50D90A6E">
      <w:pPr>
        <w:pStyle w:val="14"/>
        <w:widowControl/>
        <w:snapToGrid w:val="0"/>
        <w:spacing w:line="460" w:lineRule="exact"/>
        <w:jc w:val="left"/>
        <w:rPr>
          <w:rFonts w:ascii="宋体" w:hAnsi="宋体" w:cs="宋体"/>
          <w:color w:val="auto"/>
          <w:szCs w:val="21"/>
          <w:highlight w:val="none"/>
        </w:rPr>
      </w:pPr>
      <w:r>
        <w:rPr>
          <w:rFonts w:hint="eastAsia" w:ascii="宋体" w:hAnsi="宋体" w:cs="宋体"/>
          <w:color w:val="auto"/>
          <w:szCs w:val="21"/>
          <w:highlight w:val="none"/>
        </w:rPr>
        <w:t>法定代表人</w:t>
      </w:r>
    </w:p>
    <w:p w14:paraId="35C8A16F">
      <w:pPr>
        <w:pStyle w:val="14"/>
        <w:widowControl/>
        <w:snapToGrid w:val="0"/>
        <w:spacing w:line="460" w:lineRule="exact"/>
        <w:jc w:val="left"/>
        <w:rPr>
          <w:rFonts w:ascii="宋体" w:hAnsi="宋体" w:cs="宋体"/>
          <w:color w:val="auto"/>
          <w:szCs w:val="21"/>
          <w:highlight w:val="none"/>
        </w:rPr>
      </w:pPr>
      <w:r>
        <w:rPr>
          <w:rFonts w:hint="eastAsia" w:ascii="宋体" w:hAnsi="宋体" w:cs="宋体"/>
          <w:color w:val="auto"/>
          <w:szCs w:val="21"/>
          <w:highlight w:val="none"/>
        </w:rPr>
        <w:t>或其委托代理人</w:t>
      </w:r>
      <w:r>
        <w:rPr>
          <w:rFonts w:hint="eastAsia" w:ascii="宋体" w:hAnsi="宋体" w:cs="宋体"/>
          <w:bCs/>
          <w:color w:val="auto"/>
          <w:szCs w:val="21"/>
          <w:highlight w:val="none"/>
        </w:rPr>
        <w:t>：</w:t>
      </w:r>
      <w:r>
        <w:rPr>
          <w:rFonts w:hint="eastAsia" w:ascii="宋体" w:hAnsi="宋体" w:cs="宋体"/>
          <w:bCs/>
          <w:color w:val="auto"/>
          <w:szCs w:val="21"/>
          <w:highlight w:val="none"/>
          <w:u w:val="single"/>
        </w:rPr>
        <w:t xml:space="preserve">（签字）             </w:t>
      </w:r>
    </w:p>
    <w:p w14:paraId="63EE3D2B">
      <w:pPr>
        <w:pStyle w:val="14"/>
        <w:spacing w:line="460" w:lineRule="exact"/>
        <w:rPr>
          <w:rFonts w:ascii="宋体" w:hAnsi="宋体" w:cs="宋体"/>
          <w:bCs/>
          <w:color w:val="auto"/>
          <w:szCs w:val="21"/>
          <w:highlight w:val="none"/>
        </w:rPr>
      </w:pPr>
      <w:r>
        <w:rPr>
          <w:rFonts w:hint="eastAsia" w:ascii="宋体" w:hAnsi="宋体" w:cs="宋体"/>
          <w:bCs/>
          <w:color w:val="auto"/>
          <w:szCs w:val="21"/>
          <w:highlight w:val="none"/>
        </w:rPr>
        <w:t>乙方：</w:t>
      </w:r>
      <w:r>
        <w:rPr>
          <w:rFonts w:hint="eastAsia" w:ascii="宋体" w:hAnsi="宋体" w:cs="宋体"/>
          <w:bCs/>
          <w:color w:val="auto"/>
          <w:szCs w:val="21"/>
          <w:highlight w:val="none"/>
          <w:u w:val="single"/>
        </w:rPr>
        <w:t xml:space="preserve">                  （签章）</w:t>
      </w:r>
      <w:r>
        <w:rPr>
          <w:rFonts w:hint="eastAsia" w:ascii="宋体" w:hAnsi="宋体" w:cs="宋体"/>
          <w:bCs/>
          <w:color w:val="auto"/>
          <w:szCs w:val="21"/>
          <w:highlight w:val="none"/>
        </w:rPr>
        <w:t xml:space="preserve">                                                               </w:t>
      </w:r>
    </w:p>
    <w:p w14:paraId="1BB6BD2F">
      <w:pPr>
        <w:pStyle w:val="14"/>
        <w:spacing w:line="460" w:lineRule="exact"/>
        <w:rPr>
          <w:rFonts w:ascii="宋体" w:hAnsi="宋体" w:cs="宋体"/>
          <w:color w:val="auto"/>
          <w:szCs w:val="21"/>
          <w:highlight w:val="none"/>
        </w:rPr>
      </w:pPr>
      <w:r>
        <w:rPr>
          <w:rFonts w:hint="eastAsia" w:ascii="宋体" w:hAnsi="宋体" w:cs="宋体"/>
          <w:color w:val="auto"/>
          <w:szCs w:val="21"/>
          <w:highlight w:val="none"/>
        </w:rPr>
        <w:t>法定代表人</w:t>
      </w:r>
    </w:p>
    <w:p w14:paraId="3296E608">
      <w:pPr>
        <w:pStyle w:val="14"/>
        <w:spacing w:line="460" w:lineRule="exact"/>
        <w:rPr>
          <w:rFonts w:ascii="宋体" w:hAnsi="宋体" w:cs="宋体"/>
          <w:bCs/>
          <w:color w:val="auto"/>
          <w:szCs w:val="21"/>
          <w:highlight w:val="none"/>
        </w:rPr>
      </w:pPr>
      <w:r>
        <w:rPr>
          <w:rFonts w:hint="eastAsia" w:ascii="宋体" w:hAnsi="宋体" w:cs="宋体"/>
          <w:color w:val="auto"/>
          <w:szCs w:val="21"/>
          <w:highlight w:val="none"/>
        </w:rPr>
        <w:t>或其委托代理人</w:t>
      </w:r>
      <w:r>
        <w:rPr>
          <w:rFonts w:hint="eastAsia" w:ascii="宋体" w:hAnsi="宋体" w:cs="宋体"/>
          <w:bCs/>
          <w:color w:val="auto"/>
          <w:szCs w:val="21"/>
          <w:highlight w:val="none"/>
        </w:rPr>
        <w:t>：</w:t>
      </w:r>
      <w:r>
        <w:rPr>
          <w:rFonts w:hint="eastAsia" w:ascii="宋体" w:hAnsi="宋体" w:cs="宋体"/>
          <w:bCs/>
          <w:color w:val="auto"/>
          <w:szCs w:val="21"/>
          <w:highlight w:val="none"/>
          <w:u w:val="single"/>
        </w:rPr>
        <w:t xml:space="preserve">（签字）             </w:t>
      </w:r>
    </w:p>
    <w:p w14:paraId="577CD601">
      <w:pPr>
        <w:pStyle w:val="14"/>
        <w:spacing w:line="400" w:lineRule="exact"/>
        <w:ind w:firstLine="420" w:firstLineChars="200"/>
        <w:jc w:val="left"/>
        <w:rPr>
          <w:rFonts w:ascii="宋体" w:hAnsi="宋体" w:cs="宋体"/>
          <w:color w:val="auto"/>
          <w:kern w:val="0"/>
          <w:highlight w:val="none"/>
        </w:rPr>
        <w:sectPr>
          <w:headerReference r:id="rId19" w:type="even"/>
          <w:footnotePr>
            <w:numFmt w:val="decimalEnclosedCircleChinese"/>
            <w:numRestart w:val="eachPage"/>
          </w:footnotePr>
          <w:type w:val="continuous"/>
          <w:pgSz w:w="11911" w:h="16849"/>
          <w:pgMar w:top="1417" w:right="1361" w:bottom="1417" w:left="1361" w:header="850" w:footer="907" w:gutter="0"/>
          <w:cols w:space="720" w:num="1"/>
        </w:sectPr>
      </w:pPr>
      <w:r>
        <w:rPr>
          <w:rFonts w:hint="eastAsia" w:ascii="宋体" w:hAnsi="宋体" w:cs="宋体"/>
          <w:color w:val="auto"/>
          <w:kern w:val="0"/>
          <w:highlight w:val="none"/>
        </w:rPr>
        <w:t xml:space="preserve">日期：      年    月    日  </w:t>
      </w:r>
    </w:p>
    <w:p w14:paraId="31DBD4CF">
      <w:pPr>
        <w:pStyle w:val="62"/>
        <w:rPr>
          <w:rFonts w:ascii="黑体" w:hAnsi="黑体"/>
          <w:color w:val="auto"/>
          <w:szCs w:val="28"/>
          <w:highlight w:val="none"/>
        </w:rPr>
      </w:pPr>
      <w:bookmarkStart w:id="873" w:name="_Toc10633"/>
      <w:bookmarkStart w:id="874" w:name="_Toc12840"/>
      <w:bookmarkStart w:id="875" w:name="_Toc27243"/>
      <w:bookmarkStart w:id="876" w:name="_Toc7886"/>
      <w:bookmarkStart w:id="877" w:name="_Toc6991"/>
      <w:bookmarkStart w:id="878" w:name="_Toc17510"/>
      <w:r>
        <w:rPr>
          <w:rFonts w:hint="eastAsia" w:ascii="黑体" w:hAnsi="黑体"/>
          <w:color w:val="auto"/>
          <w:szCs w:val="28"/>
          <w:highlight w:val="none"/>
        </w:rPr>
        <w:t>附件五 履约保证金格式</w:t>
      </w:r>
      <w:bookmarkEnd w:id="873"/>
      <w:bookmarkEnd w:id="874"/>
      <w:bookmarkEnd w:id="875"/>
      <w:bookmarkEnd w:id="876"/>
      <w:bookmarkEnd w:id="877"/>
      <w:bookmarkEnd w:id="878"/>
      <w:r>
        <w:rPr>
          <w:rFonts w:hint="eastAsia" w:ascii="黑体" w:hAnsi="黑体"/>
          <w:color w:val="auto"/>
          <w:szCs w:val="28"/>
          <w:highlight w:val="none"/>
        </w:rPr>
        <w:t xml:space="preserve"> </w:t>
      </w:r>
    </w:p>
    <w:p w14:paraId="4FA0218F">
      <w:pPr>
        <w:pStyle w:val="14"/>
        <w:rPr>
          <w:rFonts w:ascii="宋体" w:hAnsi="宋体" w:cs="宋体"/>
          <w:color w:val="auto"/>
          <w:kern w:val="0"/>
          <w:szCs w:val="21"/>
          <w:highlight w:val="none"/>
        </w:rPr>
      </w:pPr>
      <w:r>
        <w:rPr>
          <w:rFonts w:hint="eastAsia" w:ascii="宋体" w:hAnsi="宋体" w:cs="宋体"/>
          <w:color w:val="auto"/>
          <w:kern w:val="0"/>
          <w:szCs w:val="21"/>
          <w:highlight w:val="none"/>
        </w:rPr>
        <w:t>如采用银行保函，格式如下：</w:t>
      </w:r>
    </w:p>
    <w:p w14:paraId="4F10A8A9">
      <w:pPr>
        <w:pStyle w:val="14"/>
        <w:jc w:val="center"/>
        <w:rPr>
          <w:rFonts w:ascii="黑体" w:hAnsi="黑体" w:eastAsia="黑体"/>
          <w:color w:val="auto"/>
          <w:kern w:val="0"/>
          <w:sz w:val="32"/>
          <w:szCs w:val="32"/>
          <w:highlight w:val="none"/>
        </w:rPr>
      </w:pPr>
      <w:r>
        <w:rPr>
          <w:rFonts w:hint="eastAsia" w:ascii="黑体" w:hAnsi="黑体" w:eastAsia="黑体" w:cs="宋体"/>
          <w:color w:val="auto"/>
          <w:kern w:val="0"/>
          <w:sz w:val="32"/>
          <w:szCs w:val="32"/>
          <w:highlight w:val="none"/>
        </w:rPr>
        <w:t>履约保证金</w:t>
      </w:r>
    </w:p>
    <w:p w14:paraId="7D159136">
      <w:pPr>
        <w:pStyle w:val="14"/>
        <w:spacing w:line="400" w:lineRule="exact"/>
        <w:jc w:val="left"/>
        <w:rPr>
          <w:color w:val="auto"/>
          <w:kern w:val="0"/>
          <w:highlight w:val="none"/>
        </w:rPr>
      </w:pPr>
      <w:r>
        <w:rPr>
          <w:rFonts w:ascii="宋体" w:hAnsi="宋体" w:cs="宋体"/>
          <w:color w:val="auto"/>
          <w:kern w:val="0"/>
          <w:highlight w:val="none"/>
        </w:rPr>
        <w:t xml:space="preserve"> </w:t>
      </w:r>
    </w:p>
    <w:p w14:paraId="5025262B">
      <w:pPr>
        <w:pStyle w:val="14"/>
        <w:spacing w:line="400" w:lineRule="exact"/>
        <w:jc w:val="left"/>
        <w:rPr>
          <w:color w:val="auto"/>
          <w:kern w:val="0"/>
          <w:highlight w:val="none"/>
        </w:rPr>
      </w:pP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（发包人名称）：</w:t>
      </w:r>
    </w:p>
    <w:p w14:paraId="79B45977">
      <w:pPr>
        <w:pStyle w:val="14"/>
        <w:spacing w:line="400" w:lineRule="exact"/>
        <w:ind w:left="0" w:firstLine="420" w:firstLineChars="200"/>
        <w:jc w:val="left"/>
        <w:rPr>
          <w:color w:val="auto"/>
          <w:kern w:val="0"/>
          <w:highlight w:val="none"/>
        </w:rPr>
      </w:pPr>
      <w:r>
        <w:rPr>
          <w:rFonts w:hint="eastAsia" w:ascii="宋体" w:hAnsi="宋体" w:cs="宋体"/>
          <w:color w:val="auto"/>
          <w:kern w:val="0"/>
          <w:highlight w:val="none"/>
        </w:rPr>
        <w:t>鉴于</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（发包人名称，以下简称“发包人”）接受</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（设计人名称，以下简称“设计人”）于</w:t>
      </w:r>
      <w:r>
        <w:rPr>
          <w:rFonts w:ascii="宋体" w:hAnsi="宋体" w:cs="宋体"/>
          <w:color w:val="auto"/>
          <w:kern w:val="0"/>
          <w:highlight w:val="none"/>
          <w:u w:val="single"/>
        </w:rPr>
        <w:t xml:space="preserve">       </w:t>
      </w:r>
      <w:r>
        <w:rPr>
          <w:rFonts w:hint="eastAsia" w:ascii="宋体" w:hAnsi="宋体" w:cs="宋体"/>
          <w:color w:val="auto"/>
          <w:kern w:val="0"/>
          <w:highlight w:val="none"/>
        </w:rPr>
        <w:t>年</w:t>
      </w:r>
      <w:r>
        <w:rPr>
          <w:rFonts w:ascii="宋体" w:hAnsi="宋体" w:cs="宋体"/>
          <w:color w:val="auto"/>
          <w:kern w:val="0"/>
          <w:highlight w:val="none"/>
          <w:u w:val="single"/>
        </w:rPr>
        <w:t xml:space="preserve">    </w:t>
      </w:r>
      <w:r>
        <w:rPr>
          <w:rFonts w:ascii="宋体" w:hAnsi="宋体" w:cs="宋体"/>
          <w:color w:val="auto"/>
          <w:kern w:val="0"/>
          <w:highlight w:val="none"/>
        </w:rPr>
        <w:t>月</w:t>
      </w:r>
      <w:r>
        <w:rPr>
          <w:rFonts w:ascii="宋体" w:hAnsi="宋体" w:cs="宋体"/>
          <w:color w:val="auto"/>
          <w:kern w:val="0"/>
          <w:highlight w:val="none"/>
          <w:u w:val="single"/>
        </w:rPr>
        <w:t xml:space="preserve">    </w:t>
      </w:r>
      <w:r>
        <w:rPr>
          <w:rFonts w:ascii="宋体" w:hAnsi="宋体" w:cs="宋体"/>
          <w:color w:val="auto"/>
          <w:kern w:val="0"/>
          <w:highlight w:val="none"/>
        </w:rPr>
        <w:t>日参加</w:t>
      </w:r>
      <w:r>
        <w:rPr>
          <w:rFonts w:hint="eastAsia" w:ascii="宋体" w:hAnsi="宋体" w:cs="宋体"/>
          <w:color w:val="auto"/>
          <w:kern w:val="0"/>
          <w:highlight w:val="none"/>
          <w:u w:val="single"/>
        </w:rPr>
        <w:t xml:space="preserve">              </w:t>
      </w:r>
      <w:r>
        <w:rPr>
          <w:rFonts w:hint="eastAsia" w:ascii="宋体" w:hAnsi="宋体" w:cs="宋体"/>
          <w:color w:val="auto"/>
          <w:kern w:val="0"/>
          <w:highlight w:val="none"/>
        </w:rPr>
        <w:t>（项目名称）第</w:t>
      </w:r>
      <w:r>
        <w:rPr>
          <w:rFonts w:ascii="宋体" w:hAnsi="宋体" w:cs="宋体"/>
          <w:color w:val="auto"/>
          <w:kern w:val="0"/>
          <w:highlight w:val="none"/>
          <w:u w:val="single"/>
        </w:rPr>
        <w:t xml:space="preserve">   </w:t>
      </w:r>
      <w:r>
        <w:rPr>
          <w:rFonts w:hint="eastAsia" w:ascii="宋体" w:hAnsi="宋体" w:cs="宋体"/>
          <w:color w:val="auto"/>
          <w:kern w:val="0"/>
          <w:highlight w:val="none"/>
        </w:rPr>
        <w:t>标段设计的竞包。我方愿意无条件地、不可撤销地就设计人履行与你方订立的合同，向你方提供担保。</w:t>
      </w:r>
      <w:r>
        <w:rPr>
          <w:rFonts w:ascii="宋体" w:hAnsi="宋体" w:cs="宋体"/>
          <w:color w:val="auto"/>
          <w:kern w:val="0"/>
          <w:highlight w:val="none"/>
        </w:rPr>
        <w:t xml:space="preserve"> </w:t>
      </w:r>
    </w:p>
    <w:p w14:paraId="71912F3D">
      <w:pPr>
        <w:pStyle w:val="14"/>
        <w:spacing w:line="400" w:lineRule="exact"/>
        <w:ind w:left="0" w:firstLine="420" w:firstLineChars="200"/>
        <w:jc w:val="left"/>
        <w:rPr>
          <w:color w:val="auto"/>
          <w:kern w:val="0"/>
          <w:highlight w:val="none"/>
        </w:rPr>
      </w:pPr>
      <w:r>
        <w:rPr>
          <w:rFonts w:ascii="宋体" w:hAnsi="宋体" w:cs="宋体"/>
          <w:color w:val="auto"/>
          <w:kern w:val="0"/>
          <w:highlight w:val="none"/>
        </w:rPr>
        <w:t xml:space="preserve">1. </w:t>
      </w:r>
      <w:r>
        <w:rPr>
          <w:rFonts w:hint="eastAsia" w:ascii="宋体" w:hAnsi="宋体" w:cs="宋体"/>
          <w:color w:val="auto"/>
          <w:kern w:val="0"/>
          <w:highlight w:val="none"/>
        </w:rPr>
        <w:t>担保金额为人民币（大写）</w:t>
      </w:r>
      <w:r>
        <w:rPr>
          <w:rFonts w:ascii="宋体" w:hAnsi="宋体" w:cs="宋体"/>
          <w:color w:val="auto"/>
          <w:kern w:val="0"/>
          <w:highlight w:val="none"/>
          <w:u w:val="single"/>
        </w:rPr>
        <w:t xml:space="preserve">       </w:t>
      </w:r>
      <w:r>
        <w:rPr>
          <w:rFonts w:hint="eastAsia" w:ascii="宋体" w:hAnsi="宋体" w:cs="宋体"/>
          <w:color w:val="auto"/>
          <w:kern w:val="0"/>
          <w:highlight w:val="none"/>
        </w:rPr>
        <w:t>元（¥</w:t>
      </w:r>
      <w:r>
        <w:rPr>
          <w:rFonts w:ascii="宋体" w:hAnsi="宋体" w:cs="宋体"/>
          <w:color w:val="auto"/>
          <w:kern w:val="0"/>
          <w:highlight w:val="none"/>
          <w:u w:val="single"/>
        </w:rPr>
        <w:t xml:space="preserve">        </w:t>
      </w:r>
      <w:r>
        <w:rPr>
          <w:rFonts w:hint="eastAsia" w:ascii="宋体" w:hAnsi="宋体" w:cs="宋体"/>
          <w:color w:val="auto"/>
          <w:kern w:val="0"/>
          <w:highlight w:val="none"/>
        </w:rPr>
        <w:t>元）。</w:t>
      </w:r>
      <w:r>
        <w:rPr>
          <w:rFonts w:ascii="宋体" w:hAnsi="宋体" w:cs="宋体"/>
          <w:color w:val="auto"/>
          <w:kern w:val="0"/>
          <w:highlight w:val="none"/>
        </w:rPr>
        <w:t xml:space="preserve"> </w:t>
      </w:r>
    </w:p>
    <w:p w14:paraId="0DB4C5E5">
      <w:pPr>
        <w:pStyle w:val="14"/>
        <w:spacing w:line="400" w:lineRule="exact"/>
        <w:ind w:left="0" w:firstLine="420" w:firstLineChars="200"/>
        <w:jc w:val="left"/>
        <w:rPr>
          <w:color w:val="auto"/>
          <w:kern w:val="0"/>
          <w:highlight w:val="none"/>
        </w:rPr>
      </w:pPr>
      <w:r>
        <w:rPr>
          <w:rFonts w:ascii="宋体" w:hAnsi="宋体" w:cs="宋体"/>
          <w:color w:val="auto"/>
          <w:kern w:val="0"/>
          <w:highlight w:val="none"/>
        </w:rPr>
        <w:t xml:space="preserve">2. </w:t>
      </w:r>
      <w:r>
        <w:rPr>
          <w:rFonts w:hint="eastAsia" w:ascii="宋体" w:hAnsi="宋体" w:cs="宋体"/>
          <w:color w:val="auto"/>
          <w:kern w:val="0"/>
          <w:highlight w:val="none"/>
        </w:rPr>
        <w:t>担保有效期自发包人与设计人签订的合同生效之日起至发包人签收最后一批设计成果文件且设计人按照合同约定缴纳质量保证金之日止。</w:t>
      </w:r>
      <w:r>
        <w:rPr>
          <w:rFonts w:ascii="宋体" w:hAnsi="宋体" w:cs="宋体"/>
          <w:color w:val="auto"/>
          <w:kern w:val="0"/>
          <w:highlight w:val="none"/>
        </w:rPr>
        <w:t xml:space="preserve"> </w:t>
      </w:r>
      <w:r>
        <w:rPr>
          <w:rStyle w:val="41"/>
          <w:rFonts w:ascii="宋体" w:hAnsi="宋体" w:cs="宋体"/>
          <w:color w:val="auto"/>
          <w:kern w:val="0"/>
          <w:highlight w:val="none"/>
        </w:rPr>
        <w:footnoteReference w:id="3"/>
      </w:r>
    </w:p>
    <w:p w14:paraId="167711AB">
      <w:pPr>
        <w:pStyle w:val="14"/>
        <w:spacing w:line="400" w:lineRule="exact"/>
        <w:ind w:left="0" w:firstLine="420" w:firstLineChars="200"/>
        <w:jc w:val="left"/>
        <w:rPr>
          <w:color w:val="auto"/>
          <w:kern w:val="0"/>
          <w:highlight w:val="none"/>
        </w:rPr>
      </w:pPr>
      <w:r>
        <w:rPr>
          <w:rFonts w:ascii="宋体" w:hAnsi="宋体" w:cs="宋体"/>
          <w:color w:val="auto"/>
          <w:kern w:val="0"/>
          <w:highlight w:val="none"/>
        </w:rPr>
        <w:t xml:space="preserve">3. </w:t>
      </w:r>
      <w:r>
        <w:rPr>
          <w:rFonts w:hint="eastAsia" w:ascii="宋体" w:hAnsi="宋体" w:cs="宋体"/>
          <w:color w:val="auto"/>
          <w:kern w:val="0"/>
          <w:highlight w:val="none"/>
        </w:rPr>
        <w:t>在本担保有效期内，如果设计人不履行合同约定的义务或其履行不符合合同的约定，我方在收到你方以书面形式提出的在担保金额内的赔偿要求后，在</w:t>
      </w:r>
      <w:r>
        <w:rPr>
          <w:rFonts w:ascii="宋体" w:hAnsi="宋体" w:cs="宋体"/>
          <w:color w:val="auto"/>
          <w:kern w:val="0"/>
          <w:highlight w:val="none"/>
        </w:rPr>
        <w:t>7</w:t>
      </w:r>
      <w:r>
        <w:rPr>
          <w:rFonts w:hint="eastAsia" w:ascii="宋体" w:hAnsi="宋体" w:cs="宋体"/>
          <w:color w:val="auto"/>
          <w:kern w:val="0"/>
          <w:highlight w:val="none"/>
        </w:rPr>
        <w:t>日内无条件支付，无须你方出具证明或陈述理由。</w:t>
      </w:r>
      <w:r>
        <w:rPr>
          <w:rFonts w:ascii="宋体" w:hAnsi="宋体" w:cs="宋体"/>
          <w:color w:val="auto"/>
          <w:kern w:val="0"/>
          <w:highlight w:val="none"/>
        </w:rPr>
        <w:t xml:space="preserve"> </w:t>
      </w:r>
    </w:p>
    <w:p w14:paraId="71017F7F">
      <w:pPr>
        <w:pStyle w:val="14"/>
        <w:spacing w:line="400" w:lineRule="exact"/>
        <w:ind w:left="0" w:firstLine="420" w:firstLineChars="200"/>
        <w:jc w:val="left"/>
        <w:rPr>
          <w:rFonts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 xml:space="preserve">. </w:t>
      </w:r>
      <w:r>
        <w:rPr>
          <w:rFonts w:hint="eastAsia" w:ascii="宋体" w:hAnsi="宋体" w:cs="宋体"/>
          <w:color w:val="auto"/>
          <w:kern w:val="0"/>
          <w:highlight w:val="none"/>
        </w:rPr>
        <w:t>发包人和设计人变更合同时，无论我方是否收到该变更，我方承担本担保规定的义务不变。</w:t>
      </w:r>
    </w:p>
    <w:p w14:paraId="4AC20660">
      <w:pPr>
        <w:pStyle w:val="14"/>
        <w:spacing w:line="400" w:lineRule="exact"/>
        <w:ind w:firstLine="420" w:firstLineChars="200"/>
        <w:jc w:val="left"/>
        <w:rPr>
          <w:rFonts w:ascii="宋体" w:hAnsi="宋体" w:cs="宋体"/>
          <w:color w:val="auto"/>
          <w:kern w:val="0"/>
          <w:highlight w:val="none"/>
        </w:rPr>
      </w:pPr>
    </w:p>
    <w:p w14:paraId="44C73B14">
      <w:pPr>
        <w:pStyle w:val="14"/>
        <w:spacing w:line="400" w:lineRule="exact"/>
        <w:jc w:val="left"/>
        <w:rPr>
          <w:color w:val="auto"/>
          <w:kern w:val="0"/>
          <w:highlight w:val="none"/>
        </w:rPr>
      </w:pPr>
    </w:p>
    <w:p w14:paraId="18C96E2F">
      <w:pPr>
        <w:pStyle w:val="14"/>
        <w:spacing w:line="400" w:lineRule="exact"/>
        <w:jc w:val="left"/>
        <w:rPr>
          <w:color w:val="auto"/>
          <w:kern w:val="0"/>
          <w:highlight w:val="none"/>
        </w:rPr>
      </w:pPr>
      <w:r>
        <w:rPr>
          <w:rFonts w:ascii="宋体" w:hAnsi="宋体" w:cs="宋体"/>
          <w:color w:val="auto"/>
          <w:kern w:val="0"/>
          <w:highlight w:val="none"/>
        </w:rPr>
        <w:t xml:space="preserve">                                   </w:t>
      </w:r>
      <w:r>
        <w:rPr>
          <w:rFonts w:hint="eastAsia" w:ascii="宋体" w:hAnsi="宋体" w:cs="宋体"/>
          <w:color w:val="auto"/>
          <w:kern w:val="0"/>
          <w:highlight w:val="none"/>
        </w:rPr>
        <w:t>担保人名称：</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（盖单位章）</w:t>
      </w:r>
    </w:p>
    <w:p w14:paraId="38E00763">
      <w:pPr>
        <w:pStyle w:val="14"/>
        <w:spacing w:line="400" w:lineRule="exact"/>
        <w:jc w:val="left"/>
        <w:rPr>
          <w:color w:val="auto"/>
          <w:kern w:val="0"/>
          <w:highlight w:val="none"/>
          <w:u w:val="single"/>
        </w:rPr>
      </w:pPr>
      <w:r>
        <w:rPr>
          <w:rFonts w:ascii="宋体" w:hAnsi="宋体" w:cs="宋体"/>
          <w:color w:val="auto"/>
          <w:kern w:val="0"/>
          <w:highlight w:val="none"/>
        </w:rPr>
        <w:t xml:space="preserve">                                   </w:t>
      </w:r>
      <w:r>
        <w:rPr>
          <w:rFonts w:hint="eastAsia" w:ascii="宋体" w:hAnsi="宋体" w:cs="宋体"/>
          <w:color w:val="auto"/>
          <w:kern w:val="0"/>
          <w:highlight w:val="none"/>
        </w:rPr>
        <w:t>法定代表人或其委托代理人：</w:t>
      </w:r>
      <w:r>
        <w:rPr>
          <w:rFonts w:ascii="宋体" w:hAnsi="宋体" w:cs="宋体"/>
          <w:color w:val="auto"/>
          <w:kern w:val="0"/>
          <w:highlight w:val="non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（签字）</w:t>
      </w:r>
      <w:r>
        <w:rPr>
          <w:rFonts w:ascii="宋体" w:hAnsi="宋体" w:cs="宋体"/>
          <w:color w:val="auto"/>
          <w:kern w:val="0"/>
          <w:highlight w:val="none"/>
        </w:rPr>
        <w:t xml:space="preserve">                               </w:t>
      </w:r>
      <w:r>
        <w:rPr>
          <w:rFonts w:hint="eastAsia" w:ascii="宋体" w:hAnsi="宋体" w:cs="宋体"/>
          <w:color w:val="auto"/>
          <w:kern w:val="0"/>
          <w:highlight w:val="none"/>
        </w:rPr>
        <w:t xml:space="preserve">           </w:t>
      </w:r>
      <w:r>
        <w:rPr>
          <w:rFonts w:ascii="宋体" w:hAnsi="宋体" w:cs="宋体"/>
          <w:color w:val="auto"/>
          <w:kern w:val="0"/>
          <w:highlight w:val="none"/>
          <w:u w:val="single"/>
        </w:rPr>
        <w:t xml:space="preserve">     </w:t>
      </w:r>
    </w:p>
    <w:p w14:paraId="3FF1CDAD">
      <w:pPr>
        <w:pStyle w:val="14"/>
        <w:spacing w:line="400" w:lineRule="exact"/>
        <w:ind w:firstLine="3675" w:firstLineChars="1750"/>
        <w:jc w:val="left"/>
        <w:rPr>
          <w:color w:val="auto"/>
          <w:kern w:val="0"/>
          <w:highlight w:val="none"/>
        </w:rPr>
      </w:pPr>
      <w:r>
        <w:rPr>
          <w:rFonts w:hint="eastAsia" w:ascii="宋体" w:hAnsi="宋体" w:cs="宋体"/>
          <w:color w:val="auto"/>
          <w:kern w:val="0"/>
          <w:highlight w:val="none"/>
        </w:rPr>
        <w:t>地</w:t>
      </w:r>
      <w:r>
        <w:rPr>
          <w:rFonts w:ascii="宋体" w:hAnsi="宋体" w:cs="宋体"/>
          <w:color w:val="auto"/>
          <w:kern w:val="0"/>
          <w:highlight w:val="none"/>
        </w:rPr>
        <w:t xml:space="preserve">    </w:t>
      </w:r>
      <w:r>
        <w:rPr>
          <w:rFonts w:hint="eastAsia" w:ascii="宋体" w:hAnsi="宋体" w:cs="宋体"/>
          <w:color w:val="auto"/>
          <w:kern w:val="0"/>
          <w:highlight w:val="none"/>
        </w:rPr>
        <w:t>址：</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r>
        <w:rPr>
          <w:rFonts w:ascii="宋体" w:hAnsi="宋体" w:cs="宋体"/>
          <w:color w:val="auto"/>
          <w:kern w:val="0"/>
          <w:highlight w:val="none"/>
          <w:u w:val="single"/>
        </w:rPr>
        <w:t xml:space="preserve">            </w:t>
      </w:r>
    </w:p>
    <w:p w14:paraId="6352A617">
      <w:pPr>
        <w:pStyle w:val="14"/>
        <w:spacing w:line="400" w:lineRule="exact"/>
        <w:ind w:firstLine="3675" w:firstLineChars="1750"/>
        <w:jc w:val="left"/>
        <w:rPr>
          <w:color w:val="auto"/>
          <w:kern w:val="0"/>
          <w:highlight w:val="none"/>
        </w:rPr>
      </w:pPr>
      <w:r>
        <w:rPr>
          <w:rFonts w:hint="eastAsia" w:ascii="宋体" w:hAnsi="宋体" w:cs="宋体"/>
          <w:color w:val="auto"/>
          <w:kern w:val="0"/>
          <w:highlight w:val="none"/>
        </w:rPr>
        <w:t>邮政编码：</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p>
    <w:p w14:paraId="2B275AD0">
      <w:pPr>
        <w:pStyle w:val="14"/>
        <w:spacing w:line="400" w:lineRule="exact"/>
        <w:ind w:firstLine="3675" w:firstLineChars="1750"/>
        <w:jc w:val="left"/>
        <w:rPr>
          <w:color w:val="auto"/>
          <w:kern w:val="0"/>
          <w:highlight w:val="none"/>
        </w:rPr>
      </w:pPr>
      <w:r>
        <w:rPr>
          <w:rFonts w:hint="eastAsia" w:ascii="宋体" w:hAnsi="宋体" w:cs="宋体"/>
          <w:color w:val="auto"/>
          <w:kern w:val="0"/>
          <w:highlight w:val="none"/>
        </w:rPr>
        <w:t>电</w:t>
      </w:r>
      <w:r>
        <w:rPr>
          <w:rFonts w:ascii="宋体" w:hAnsi="宋体" w:cs="宋体"/>
          <w:color w:val="auto"/>
          <w:kern w:val="0"/>
          <w:highlight w:val="none"/>
        </w:rPr>
        <w:t xml:space="preserve">    </w:t>
      </w:r>
      <w:r>
        <w:rPr>
          <w:rFonts w:hint="eastAsia" w:ascii="宋体" w:hAnsi="宋体" w:cs="宋体"/>
          <w:color w:val="auto"/>
          <w:kern w:val="0"/>
          <w:highlight w:val="none"/>
        </w:rPr>
        <w:t>话：</w:t>
      </w:r>
      <w:r>
        <w:rPr>
          <w:rFonts w:ascii="宋体" w:hAnsi="宋体" w:cs="宋体"/>
          <w:color w:val="auto"/>
          <w:kern w:val="0"/>
          <w:highlight w:val="none"/>
          <w:u w:val="single"/>
        </w:rPr>
        <w:t xml:space="preserve">                              </w:t>
      </w:r>
    </w:p>
    <w:p w14:paraId="15DB576A">
      <w:pPr>
        <w:pStyle w:val="14"/>
        <w:spacing w:line="400" w:lineRule="exact"/>
        <w:ind w:firstLine="3675" w:firstLineChars="1750"/>
        <w:jc w:val="left"/>
        <w:rPr>
          <w:color w:val="auto"/>
          <w:kern w:val="0"/>
          <w:highlight w:val="none"/>
        </w:rPr>
      </w:pPr>
      <w:r>
        <w:rPr>
          <w:rFonts w:hint="eastAsia" w:ascii="宋体" w:hAnsi="宋体" w:cs="宋体"/>
          <w:color w:val="auto"/>
          <w:kern w:val="0"/>
          <w:highlight w:val="none"/>
        </w:rPr>
        <w:t>传</w:t>
      </w:r>
      <w:r>
        <w:rPr>
          <w:rFonts w:ascii="宋体" w:hAnsi="宋体" w:cs="宋体"/>
          <w:color w:val="auto"/>
          <w:kern w:val="0"/>
          <w:highlight w:val="none"/>
        </w:rPr>
        <w:t xml:space="preserve">    </w:t>
      </w:r>
      <w:r>
        <w:rPr>
          <w:rFonts w:hint="eastAsia" w:ascii="宋体" w:hAnsi="宋体" w:cs="宋体"/>
          <w:color w:val="auto"/>
          <w:kern w:val="0"/>
          <w:highlight w:val="none"/>
        </w:rPr>
        <w:t>真：</w:t>
      </w:r>
      <w:r>
        <w:rPr>
          <w:rFonts w:ascii="宋体" w:hAnsi="宋体" w:cs="宋体"/>
          <w:color w:val="auto"/>
          <w:kern w:val="0"/>
          <w:highlight w:val="none"/>
          <w:u w:val="single"/>
        </w:rPr>
        <w:t xml:space="preserve">                              </w:t>
      </w:r>
    </w:p>
    <w:p w14:paraId="240F23BB">
      <w:pPr>
        <w:pStyle w:val="14"/>
        <w:spacing w:line="400" w:lineRule="exact"/>
        <w:ind w:firstLine="4305" w:firstLineChars="2050"/>
        <w:rPr>
          <w:rFonts w:ascii="宋体" w:hAnsi="宋体" w:cs="宋体"/>
          <w:color w:val="auto"/>
          <w:kern w:val="0"/>
          <w:highlight w:val="none"/>
        </w:rPr>
      </w:pPr>
      <w:r>
        <w:rPr>
          <w:rFonts w:ascii="宋体" w:hAnsi="宋体" w:cs="宋体"/>
          <w:color w:val="auto"/>
          <w:kern w:val="0"/>
          <w:highlight w:val="none"/>
        </w:rPr>
        <w:t xml:space="preserve"> </w:t>
      </w:r>
      <w:r>
        <w:rPr>
          <w:rFonts w:ascii="宋体" w:hAnsi="宋体" w:cs="宋体"/>
          <w:color w:val="auto"/>
          <w:kern w:val="0"/>
          <w:highlight w:val="none"/>
          <w:u w:val="single"/>
        </w:rPr>
        <w:t xml:space="preserve">       </w:t>
      </w:r>
      <w:r>
        <w:rPr>
          <w:rFonts w:hint="eastAsia" w:ascii="宋体" w:hAnsi="宋体" w:cs="宋体"/>
          <w:color w:val="auto"/>
          <w:kern w:val="0"/>
          <w:highlight w:val="none"/>
        </w:rPr>
        <w:t>年</w:t>
      </w:r>
      <w:r>
        <w:rPr>
          <w:rFonts w:ascii="宋体" w:hAnsi="宋体" w:cs="宋体"/>
          <w:color w:val="auto"/>
          <w:kern w:val="0"/>
          <w:highlight w:val="none"/>
          <w:u w:val="single"/>
        </w:rPr>
        <w:t xml:space="preserve">     </w:t>
      </w:r>
      <w:r>
        <w:rPr>
          <w:rFonts w:hint="eastAsia" w:ascii="宋体" w:hAnsi="宋体" w:cs="宋体"/>
          <w:color w:val="auto"/>
          <w:kern w:val="0"/>
          <w:highlight w:val="none"/>
        </w:rPr>
        <w:t>月</w:t>
      </w:r>
      <w:r>
        <w:rPr>
          <w:rFonts w:ascii="宋体" w:hAnsi="宋体" w:cs="宋体"/>
          <w:color w:val="auto"/>
          <w:kern w:val="0"/>
          <w:highlight w:val="none"/>
          <w:u w:val="single"/>
        </w:rPr>
        <w:t xml:space="preserve">     </w:t>
      </w:r>
      <w:r>
        <w:rPr>
          <w:rFonts w:hint="eastAsia" w:ascii="宋体" w:hAnsi="宋体" w:cs="宋体"/>
          <w:color w:val="auto"/>
          <w:kern w:val="0"/>
          <w:highlight w:val="none"/>
        </w:rPr>
        <w:t>日</w:t>
      </w:r>
    </w:p>
    <w:p w14:paraId="3F35DDD6">
      <w:pPr>
        <w:tabs>
          <w:tab w:val="left" w:pos="1050"/>
          <w:tab w:val="left" w:pos="2790"/>
        </w:tabs>
        <w:spacing w:line="360" w:lineRule="auto"/>
        <w:outlineLvl w:val="1"/>
        <w:rPr>
          <w:rFonts w:ascii="黑体" w:hAnsi="黑体" w:eastAsia="黑体" w:cs="宋体"/>
          <w:color w:val="auto"/>
          <w:sz w:val="28"/>
          <w:szCs w:val="28"/>
          <w:highlight w:val="none"/>
        </w:rPr>
      </w:pPr>
      <w:bookmarkStart w:id="879" w:name="_Toc96628826"/>
      <w:r>
        <w:rPr>
          <w:rFonts w:hint="eastAsia" w:ascii="黑体" w:hAnsi="黑体" w:eastAsia="黑体" w:cs="宋体"/>
          <w:color w:val="auto"/>
          <w:sz w:val="28"/>
          <w:szCs w:val="28"/>
          <w:highlight w:val="none"/>
        </w:rPr>
        <w:br w:type="page"/>
      </w:r>
      <w:bookmarkStart w:id="880" w:name="_Toc28069"/>
      <w:bookmarkStart w:id="881" w:name="_Toc19333"/>
      <w:bookmarkStart w:id="882" w:name="_Toc171"/>
      <w:bookmarkStart w:id="883" w:name="_Toc20159"/>
      <w:bookmarkStart w:id="884" w:name="_Toc19226"/>
      <w:bookmarkStart w:id="885" w:name="_Toc18824"/>
      <w:r>
        <w:rPr>
          <w:rFonts w:hint="eastAsia" w:ascii="黑体" w:hAnsi="黑体" w:eastAsia="黑体" w:cs="宋体"/>
          <w:color w:val="auto"/>
          <w:sz w:val="28"/>
          <w:szCs w:val="28"/>
          <w:highlight w:val="none"/>
        </w:rPr>
        <w:t>附件六 项目图纸资料保密承诺书格式</w:t>
      </w:r>
      <w:bookmarkEnd w:id="879"/>
      <w:bookmarkEnd w:id="880"/>
      <w:bookmarkEnd w:id="881"/>
      <w:bookmarkEnd w:id="882"/>
      <w:bookmarkEnd w:id="883"/>
      <w:bookmarkEnd w:id="884"/>
      <w:bookmarkEnd w:id="885"/>
    </w:p>
    <w:p w14:paraId="025F53D2">
      <w:pPr>
        <w:spacing w:line="360" w:lineRule="auto"/>
        <w:jc w:val="center"/>
        <w:rPr>
          <w:color w:val="auto"/>
          <w:highlight w:val="none"/>
        </w:rPr>
      </w:pPr>
    </w:p>
    <w:p w14:paraId="5CCAB516">
      <w:pPr>
        <w:tabs>
          <w:tab w:val="left" w:pos="2790"/>
        </w:tabs>
        <w:spacing w:line="360" w:lineRule="auto"/>
        <w:jc w:val="center"/>
        <w:rPr>
          <w:rFonts w:eastAsia="黑体"/>
          <w:color w:val="auto"/>
          <w:sz w:val="28"/>
          <w:szCs w:val="28"/>
          <w:highlight w:val="none"/>
        </w:rPr>
      </w:pPr>
      <w:r>
        <w:rPr>
          <w:rFonts w:eastAsia="黑体"/>
          <w:color w:val="auto"/>
          <w:sz w:val="28"/>
          <w:szCs w:val="28"/>
          <w:highlight w:val="none"/>
        </w:rPr>
        <w:t>项目图纸资料保密承诺书</w:t>
      </w:r>
    </w:p>
    <w:p w14:paraId="24CE4E61">
      <w:pPr>
        <w:spacing w:line="360" w:lineRule="auto"/>
        <w:jc w:val="center"/>
        <w:rPr>
          <w:color w:val="auto"/>
          <w:highlight w:val="none"/>
        </w:rPr>
      </w:pPr>
    </w:p>
    <w:p w14:paraId="3C19E1D1">
      <w:pPr>
        <w:spacing w:line="360" w:lineRule="auto"/>
        <w:jc w:val="center"/>
        <w:rPr>
          <w:color w:val="auto"/>
          <w:highlight w:val="none"/>
        </w:rPr>
      </w:pPr>
    </w:p>
    <w:p w14:paraId="2954EE48">
      <w:pPr>
        <w:spacing w:line="360" w:lineRule="auto"/>
        <w:ind w:firstLine="480"/>
        <w:rPr>
          <w:color w:val="auto"/>
          <w:highlight w:val="none"/>
        </w:rPr>
      </w:pPr>
    </w:p>
    <w:p w14:paraId="4C0FF3FF">
      <w:pPr>
        <w:spacing w:line="360" w:lineRule="auto"/>
        <w:ind w:firstLine="480"/>
        <w:rPr>
          <w:color w:val="auto"/>
          <w:highlight w:val="none"/>
        </w:rPr>
      </w:pPr>
      <w:r>
        <w:rPr>
          <w:color w:val="auto"/>
          <w:highlight w:val="none"/>
        </w:rPr>
        <w:t>______________________（</w:t>
      </w:r>
      <w:r>
        <w:rPr>
          <w:rFonts w:hint="eastAsia"/>
          <w:color w:val="auto"/>
          <w:highlight w:val="none"/>
        </w:rPr>
        <w:t>设计人</w:t>
      </w:r>
      <w:r>
        <w:rPr>
          <w:color w:val="auto"/>
          <w:highlight w:val="none"/>
        </w:rPr>
        <w:t>名称）将完善________________________（项目名称）工程图纸资料制作、移交、归档等管理制度，严格落实图纸资料管理要求。在本工程实施期间及验收完成后，所有图纸资料均按照内部资料管理，不通过互联网与任何单位和个人进行与本项目有关图纸资料交换传递，不通过任何途径向本项目无关方泄露和传播本项目有关图纸资料。</w:t>
      </w:r>
    </w:p>
    <w:p w14:paraId="2C26EBA7">
      <w:pPr>
        <w:spacing w:line="360" w:lineRule="auto"/>
        <w:ind w:firstLine="480"/>
        <w:rPr>
          <w:color w:val="auto"/>
          <w:highlight w:val="none"/>
        </w:rPr>
      </w:pPr>
      <w:r>
        <w:rPr>
          <w:color w:val="auto"/>
          <w:highlight w:val="none"/>
        </w:rPr>
        <w:t>特此承诺。</w:t>
      </w:r>
    </w:p>
    <w:p w14:paraId="66738AF6">
      <w:pPr>
        <w:spacing w:line="360" w:lineRule="auto"/>
        <w:ind w:firstLine="480"/>
        <w:rPr>
          <w:color w:val="auto"/>
          <w:highlight w:val="none"/>
        </w:rPr>
      </w:pPr>
    </w:p>
    <w:p w14:paraId="28C497FB">
      <w:pPr>
        <w:tabs>
          <w:tab w:val="left" w:pos="2790"/>
        </w:tabs>
        <w:spacing w:line="360" w:lineRule="auto"/>
        <w:ind w:left="4393" w:leftChars="2092"/>
        <w:rPr>
          <w:color w:val="auto"/>
          <w:szCs w:val="21"/>
          <w:highlight w:val="none"/>
        </w:rPr>
      </w:pPr>
      <w:r>
        <w:rPr>
          <w:rFonts w:hint="eastAsia"/>
          <w:color w:val="auto"/>
          <w:szCs w:val="21"/>
          <w:highlight w:val="none"/>
        </w:rPr>
        <w:t>设计</w:t>
      </w:r>
      <w:r>
        <w:rPr>
          <w:color w:val="auto"/>
          <w:szCs w:val="21"/>
          <w:highlight w:val="none"/>
        </w:rPr>
        <w:t>人：</w:t>
      </w:r>
      <w:r>
        <w:rPr>
          <w:color w:val="auto"/>
          <w:szCs w:val="21"/>
          <w:highlight w:val="none"/>
          <w:u w:val="single"/>
        </w:rPr>
        <w:t xml:space="preserve">                  </w:t>
      </w:r>
      <w:r>
        <w:rPr>
          <w:color w:val="auto"/>
          <w:szCs w:val="21"/>
          <w:highlight w:val="none"/>
        </w:rPr>
        <w:t xml:space="preserve"> (盖单位章)</w:t>
      </w:r>
    </w:p>
    <w:p w14:paraId="64590055">
      <w:pPr>
        <w:tabs>
          <w:tab w:val="left" w:pos="2790"/>
        </w:tabs>
        <w:spacing w:line="360" w:lineRule="auto"/>
        <w:ind w:left="4393" w:leftChars="2092"/>
        <w:rPr>
          <w:color w:val="auto"/>
          <w:szCs w:val="21"/>
          <w:highlight w:val="none"/>
        </w:rPr>
      </w:pPr>
      <w:r>
        <w:rPr>
          <w:color w:val="auto"/>
          <w:szCs w:val="21"/>
          <w:highlight w:val="none"/>
        </w:rPr>
        <w:t>法定代表人或其委托代理人：</w:t>
      </w:r>
      <w:r>
        <w:rPr>
          <w:color w:val="auto"/>
          <w:szCs w:val="21"/>
          <w:highlight w:val="none"/>
          <w:u w:val="single"/>
        </w:rPr>
        <w:t xml:space="preserve">     </w:t>
      </w:r>
      <w:r>
        <w:rPr>
          <w:color w:val="auto"/>
          <w:szCs w:val="21"/>
          <w:highlight w:val="none"/>
        </w:rPr>
        <w:t>(签字)</w:t>
      </w:r>
    </w:p>
    <w:p w14:paraId="4F9B6FC3">
      <w:pPr>
        <w:tabs>
          <w:tab w:val="left" w:pos="2790"/>
        </w:tabs>
        <w:spacing w:line="360" w:lineRule="auto"/>
        <w:ind w:left="4393" w:leftChars="2092"/>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3E945D8D">
      <w:pPr>
        <w:pStyle w:val="14"/>
        <w:ind w:firstLine="420" w:firstLineChars="200"/>
        <w:rPr>
          <w:rFonts w:ascii="宋体" w:hAnsi="宋体"/>
          <w:color w:val="auto"/>
          <w:highlight w:val="none"/>
        </w:rPr>
        <w:sectPr>
          <w:footnotePr>
            <w:numFmt w:val="decimalEnclosedCircleChinese"/>
            <w:numRestart w:val="eachPage"/>
          </w:footnotePr>
          <w:pgSz w:w="11911" w:h="16849"/>
          <w:pgMar w:top="1417" w:right="1361" w:bottom="1417" w:left="1361" w:header="850" w:footer="907" w:gutter="0"/>
          <w:cols w:space="720" w:num="1"/>
        </w:sectPr>
      </w:pPr>
    </w:p>
    <w:p w14:paraId="0AC27B19">
      <w:pPr>
        <w:pStyle w:val="14"/>
        <w:jc w:val="center"/>
        <w:rPr>
          <w:color w:val="auto"/>
          <w:highlight w:val="none"/>
        </w:rPr>
      </w:pPr>
      <w:r>
        <w:rPr>
          <w:rFonts w:ascii="宋体" w:hAnsi="宋体"/>
          <w:color w:val="auto"/>
          <w:highlight w:val="none"/>
        </w:rPr>
        <w:br w:type="page"/>
      </w:r>
    </w:p>
    <w:p w14:paraId="3DA3B4A1">
      <w:pPr>
        <w:pStyle w:val="14"/>
        <w:jc w:val="center"/>
        <w:rPr>
          <w:color w:val="auto"/>
          <w:highlight w:val="none"/>
        </w:rPr>
      </w:pPr>
    </w:p>
    <w:p w14:paraId="60E0AE36">
      <w:pPr>
        <w:pStyle w:val="14"/>
        <w:jc w:val="center"/>
        <w:rPr>
          <w:color w:val="auto"/>
          <w:highlight w:val="none"/>
        </w:rPr>
      </w:pPr>
    </w:p>
    <w:p w14:paraId="2B5B1998">
      <w:pPr>
        <w:pStyle w:val="14"/>
        <w:jc w:val="center"/>
        <w:rPr>
          <w:color w:val="auto"/>
          <w:highlight w:val="none"/>
        </w:rPr>
      </w:pPr>
    </w:p>
    <w:p w14:paraId="161C5AE7">
      <w:pPr>
        <w:pStyle w:val="14"/>
        <w:jc w:val="center"/>
        <w:rPr>
          <w:color w:val="auto"/>
          <w:highlight w:val="none"/>
        </w:rPr>
      </w:pPr>
    </w:p>
    <w:p w14:paraId="2FE55B9A">
      <w:pPr>
        <w:pStyle w:val="14"/>
        <w:jc w:val="center"/>
        <w:rPr>
          <w:color w:val="auto"/>
          <w:highlight w:val="none"/>
        </w:rPr>
      </w:pPr>
    </w:p>
    <w:p w14:paraId="798E2D42">
      <w:pPr>
        <w:pStyle w:val="14"/>
        <w:jc w:val="center"/>
        <w:rPr>
          <w:color w:val="auto"/>
          <w:highlight w:val="none"/>
        </w:rPr>
      </w:pPr>
    </w:p>
    <w:p w14:paraId="6FF3FF0B">
      <w:pPr>
        <w:pStyle w:val="14"/>
        <w:jc w:val="center"/>
        <w:rPr>
          <w:color w:val="auto"/>
          <w:highlight w:val="none"/>
        </w:rPr>
      </w:pPr>
    </w:p>
    <w:p w14:paraId="7556CD88">
      <w:pPr>
        <w:pStyle w:val="14"/>
        <w:jc w:val="center"/>
        <w:rPr>
          <w:color w:val="auto"/>
          <w:highlight w:val="none"/>
        </w:rPr>
      </w:pPr>
    </w:p>
    <w:p w14:paraId="06A7CEC3">
      <w:pPr>
        <w:pStyle w:val="14"/>
        <w:jc w:val="center"/>
        <w:rPr>
          <w:color w:val="auto"/>
          <w:highlight w:val="none"/>
        </w:rPr>
      </w:pPr>
    </w:p>
    <w:p w14:paraId="0026C36C">
      <w:pPr>
        <w:pStyle w:val="14"/>
        <w:jc w:val="center"/>
        <w:rPr>
          <w:color w:val="auto"/>
          <w:highlight w:val="none"/>
        </w:rPr>
      </w:pPr>
    </w:p>
    <w:p w14:paraId="07667CC5">
      <w:pPr>
        <w:pStyle w:val="14"/>
        <w:jc w:val="center"/>
        <w:rPr>
          <w:color w:val="auto"/>
          <w:highlight w:val="none"/>
        </w:rPr>
      </w:pPr>
    </w:p>
    <w:p w14:paraId="312CBBD5">
      <w:pPr>
        <w:pStyle w:val="14"/>
        <w:jc w:val="center"/>
        <w:rPr>
          <w:color w:val="auto"/>
          <w:highlight w:val="none"/>
        </w:rPr>
      </w:pPr>
    </w:p>
    <w:p w14:paraId="49BC68FC">
      <w:pPr>
        <w:pStyle w:val="14"/>
        <w:jc w:val="center"/>
        <w:rPr>
          <w:color w:val="auto"/>
          <w:highlight w:val="none"/>
        </w:rPr>
      </w:pPr>
    </w:p>
    <w:p w14:paraId="1FA51F56">
      <w:pPr>
        <w:pStyle w:val="14"/>
        <w:jc w:val="center"/>
        <w:rPr>
          <w:color w:val="auto"/>
          <w:highlight w:val="none"/>
        </w:rPr>
      </w:pPr>
    </w:p>
    <w:p w14:paraId="795D5709">
      <w:pPr>
        <w:pStyle w:val="14"/>
        <w:jc w:val="center"/>
        <w:rPr>
          <w:color w:val="auto"/>
          <w:highlight w:val="none"/>
        </w:rPr>
      </w:pPr>
    </w:p>
    <w:p w14:paraId="7EF9F85C">
      <w:pPr>
        <w:pStyle w:val="63"/>
        <w:spacing w:line="360" w:lineRule="auto"/>
        <w:jc w:val="center"/>
        <w:rPr>
          <w:rFonts w:ascii="黑体" w:hAnsi="黑体" w:cs="黑体"/>
          <w:b w:val="0"/>
          <w:bCs w:val="0"/>
          <w:color w:val="auto"/>
          <w:sz w:val="44"/>
          <w:szCs w:val="44"/>
          <w:highlight w:val="none"/>
        </w:rPr>
      </w:pPr>
      <w:bookmarkStart w:id="886" w:name="_Toc26738"/>
      <w:bookmarkStart w:id="887" w:name="_Toc6538"/>
      <w:bookmarkStart w:id="888" w:name="_Toc22916"/>
      <w:bookmarkStart w:id="889" w:name="_Toc11799"/>
      <w:bookmarkStart w:id="890" w:name="_Toc7691"/>
      <w:bookmarkStart w:id="891" w:name="_Toc16977"/>
      <w:r>
        <w:rPr>
          <w:rFonts w:hint="eastAsia" w:ascii="黑体" w:hAnsi="黑体" w:cs="黑体"/>
          <w:b w:val="0"/>
          <w:bCs w:val="0"/>
          <w:color w:val="auto"/>
          <w:sz w:val="44"/>
          <w:szCs w:val="44"/>
          <w:highlight w:val="none"/>
        </w:rPr>
        <w:t>第五章 发包人要求</w:t>
      </w:r>
      <w:r>
        <w:rPr>
          <w:rStyle w:val="41"/>
          <w:rFonts w:hint="eastAsia" w:ascii="黑体" w:hAnsi="黑体" w:cs="黑体"/>
          <w:b w:val="0"/>
          <w:bCs w:val="0"/>
          <w:color w:val="auto"/>
          <w:sz w:val="44"/>
          <w:szCs w:val="44"/>
          <w:highlight w:val="none"/>
        </w:rPr>
        <w:footnoteReference w:id="4"/>
      </w:r>
      <w:bookmarkEnd w:id="886"/>
      <w:bookmarkEnd w:id="887"/>
      <w:bookmarkEnd w:id="888"/>
      <w:bookmarkEnd w:id="889"/>
      <w:bookmarkEnd w:id="890"/>
      <w:bookmarkEnd w:id="891"/>
    </w:p>
    <w:p w14:paraId="4598BBB1">
      <w:pPr>
        <w:pStyle w:val="14"/>
        <w:jc w:val="center"/>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发包人要求</w:t>
      </w:r>
    </w:p>
    <w:p w14:paraId="7C3F8C97">
      <w:pPr>
        <w:pStyle w:val="14"/>
        <w:spacing w:line="400" w:lineRule="exact"/>
        <w:ind w:left="0" w:firstLine="420" w:firstLineChars="200"/>
        <w:rPr>
          <w:color w:val="auto"/>
          <w:szCs w:val="21"/>
          <w:highlight w:val="none"/>
        </w:rPr>
      </w:pPr>
      <w:r>
        <w:rPr>
          <w:color w:val="auto"/>
          <w:szCs w:val="21"/>
          <w:highlight w:val="none"/>
        </w:rPr>
        <w:t>发包人要求应尽可能清晰准确，对于可以进行定量评估的工作，发包人要求不仅应明确规定其功能、用途、质量、环境、安全，并且要规定检验、试验、试运行的具体要求（如有）。对于设计人负责提供的有关服务，在发包人要求中应一并明确规定。</w:t>
      </w:r>
    </w:p>
    <w:p w14:paraId="4AEAF87A">
      <w:pPr>
        <w:pStyle w:val="14"/>
        <w:spacing w:line="400" w:lineRule="exact"/>
        <w:ind w:left="0" w:firstLine="420" w:firstLineChars="200"/>
        <w:rPr>
          <w:color w:val="auto"/>
          <w:szCs w:val="21"/>
          <w:highlight w:val="none"/>
        </w:rPr>
      </w:pPr>
      <w:r>
        <w:rPr>
          <w:color w:val="auto"/>
          <w:szCs w:val="21"/>
          <w:highlight w:val="none"/>
        </w:rPr>
        <w:t>发包人要求通常包括但不限于以下内容</w:t>
      </w:r>
      <w:r>
        <w:rPr>
          <w:rFonts w:hint="eastAsia"/>
          <w:color w:val="auto"/>
          <w:szCs w:val="21"/>
          <w:highlight w:val="none"/>
        </w:rPr>
        <w:t>。</w:t>
      </w:r>
    </w:p>
    <w:p w14:paraId="5E24A593">
      <w:pPr>
        <w:spacing w:line="400" w:lineRule="exact"/>
        <w:rPr>
          <w:rFonts w:ascii="黑体" w:hAnsi="黑体" w:eastAsia="黑体"/>
          <w:color w:val="auto"/>
          <w:szCs w:val="21"/>
          <w:highlight w:val="none"/>
        </w:rPr>
      </w:pPr>
      <w:r>
        <w:rPr>
          <w:rFonts w:hint="eastAsia" w:ascii="黑体" w:hAnsi="黑体" w:eastAsia="黑体"/>
          <w:color w:val="auto"/>
          <w:szCs w:val="21"/>
          <w:highlight w:val="none"/>
        </w:rPr>
        <w:t>一、设计要求</w:t>
      </w:r>
    </w:p>
    <w:p w14:paraId="62DE5A26">
      <w:pPr>
        <w:pStyle w:val="14"/>
        <w:spacing w:line="400" w:lineRule="exact"/>
        <w:ind w:left="0" w:firstLine="420" w:firstLineChars="200"/>
        <w:rPr>
          <w:color w:val="auto"/>
          <w:szCs w:val="21"/>
          <w:highlight w:val="none"/>
        </w:rPr>
      </w:pPr>
      <w:r>
        <w:rPr>
          <w:rFonts w:hint="eastAsia"/>
          <w:color w:val="auto"/>
          <w:szCs w:val="21"/>
          <w:highlight w:val="none"/>
        </w:rPr>
        <w:t>发包</w:t>
      </w:r>
      <w:r>
        <w:rPr>
          <w:color w:val="auto"/>
          <w:szCs w:val="21"/>
          <w:highlight w:val="none"/>
        </w:rPr>
        <w:t>人应当根据项目情况在本章中明确相应的</w:t>
      </w:r>
      <w:r>
        <w:rPr>
          <w:rFonts w:hint="eastAsia"/>
          <w:color w:val="auto"/>
          <w:szCs w:val="21"/>
          <w:highlight w:val="none"/>
        </w:rPr>
        <w:t>设计</w:t>
      </w:r>
      <w:r>
        <w:rPr>
          <w:color w:val="auto"/>
          <w:szCs w:val="21"/>
          <w:highlight w:val="none"/>
        </w:rPr>
        <w:t>要求，一般应包括以下内容</w:t>
      </w:r>
      <w:r>
        <w:rPr>
          <w:rFonts w:hint="eastAsia"/>
          <w:color w:val="auto"/>
          <w:szCs w:val="21"/>
          <w:highlight w:val="none"/>
        </w:rPr>
        <w:t>：</w:t>
      </w:r>
    </w:p>
    <w:p w14:paraId="6AF2F9ED">
      <w:pPr>
        <w:pStyle w:val="14"/>
        <w:spacing w:line="400" w:lineRule="exact"/>
        <w:ind w:left="0" w:firstLine="420" w:firstLineChars="200"/>
        <w:rPr>
          <w:color w:val="auto"/>
          <w:szCs w:val="21"/>
          <w:highlight w:val="none"/>
        </w:rPr>
      </w:pPr>
      <w:r>
        <w:rPr>
          <w:rFonts w:hint="eastAsia"/>
          <w:color w:val="auto"/>
          <w:szCs w:val="21"/>
          <w:highlight w:val="none"/>
        </w:rPr>
        <w:t>1.项目概况</w:t>
      </w:r>
    </w:p>
    <w:p w14:paraId="5A530B57">
      <w:pPr>
        <w:pStyle w:val="14"/>
        <w:spacing w:line="400" w:lineRule="exact"/>
        <w:ind w:left="0" w:firstLine="420" w:firstLineChars="200"/>
        <w:rPr>
          <w:color w:val="auto"/>
          <w:szCs w:val="21"/>
          <w:highlight w:val="none"/>
        </w:rPr>
      </w:pPr>
      <w:r>
        <w:rPr>
          <w:color w:val="auto"/>
          <w:szCs w:val="21"/>
          <w:highlight w:val="none"/>
        </w:rPr>
        <w:t>包括项目名称、建设单位、建设规模、技术标准、项目地理位置、周边环境、相关区域路网现状及规划（包括道路及交通工程设施现状及规划）、文物情况、地质地貌、水文、气候及气象条件等</w:t>
      </w:r>
      <w:r>
        <w:rPr>
          <w:rFonts w:hint="eastAsia"/>
          <w:color w:val="auto"/>
          <w:szCs w:val="21"/>
          <w:highlight w:val="none"/>
        </w:rPr>
        <w:t>。</w:t>
      </w:r>
    </w:p>
    <w:p w14:paraId="19F0FA62">
      <w:pPr>
        <w:pStyle w:val="14"/>
        <w:spacing w:line="400" w:lineRule="exact"/>
        <w:ind w:left="0" w:firstLine="420" w:firstLineChars="200"/>
        <w:rPr>
          <w:color w:val="auto"/>
          <w:szCs w:val="21"/>
          <w:highlight w:val="none"/>
        </w:rPr>
      </w:pPr>
      <w:r>
        <w:rPr>
          <w:rFonts w:hint="eastAsia"/>
          <w:color w:val="auto"/>
          <w:szCs w:val="21"/>
          <w:highlight w:val="none"/>
        </w:rPr>
        <w:t>2.设计</w:t>
      </w:r>
      <w:r>
        <w:rPr>
          <w:color w:val="auto"/>
          <w:szCs w:val="21"/>
          <w:highlight w:val="none"/>
        </w:rPr>
        <w:t>范围</w:t>
      </w:r>
      <w:r>
        <w:rPr>
          <w:rFonts w:hint="eastAsia"/>
          <w:color w:val="auto"/>
          <w:szCs w:val="21"/>
          <w:highlight w:val="none"/>
        </w:rPr>
        <w:t>、</w:t>
      </w:r>
      <w:r>
        <w:rPr>
          <w:color w:val="auto"/>
          <w:szCs w:val="21"/>
          <w:highlight w:val="none"/>
        </w:rPr>
        <w:t>内容</w:t>
      </w:r>
      <w:r>
        <w:rPr>
          <w:rFonts w:hint="eastAsia"/>
          <w:color w:val="auto"/>
          <w:szCs w:val="21"/>
          <w:highlight w:val="none"/>
        </w:rPr>
        <w:t>及质量要求</w:t>
      </w:r>
    </w:p>
    <w:p w14:paraId="612625F4">
      <w:pPr>
        <w:pStyle w:val="14"/>
        <w:spacing w:line="400" w:lineRule="exact"/>
        <w:ind w:left="0" w:firstLine="420" w:firstLineChars="200"/>
        <w:rPr>
          <w:color w:val="auto"/>
          <w:szCs w:val="21"/>
          <w:highlight w:val="none"/>
        </w:rPr>
      </w:pPr>
      <w:r>
        <w:rPr>
          <w:rFonts w:hint="eastAsia"/>
          <w:color w:val="auto"/>
          <w:szCs w:val="21"/>
          <w:highlight w:val="none"/>
        </w:rPr>
        <w:t>3.设计</w:t>
      </w:r>
      <w:r>
        <w:rPr>
          <w:color w:val="auto"/>
          <w:szCs w:val="21"/>
          <w:highlight w:val="none"/>
        </w:rPr>
        <w:t>依据</w:t>
      </w:r>
    </w:p>
    <w:p w14:paraId="39BD80BA">
      <w:pPr>
        <w:pStyle w:val="14"/>
        <w:spacing w:line="400" w:lineRule="exact"/>
        <w:ind w:left="0" w:firstLine="420" w:firstLineChars="200"/>
        <w:rPr>
          <w:color w:val="auto"/>
          <w:szCs w:val="21"/>
          <w:highlight w:val="none"/>
        </w:rPr>
      </w:pPr>
      <w:r>
        <w:rPr>
          <w:rFonts w:hint="eastAsia"/>
          <w:color w:val="auto"/>
          <w:szCs w:val="21"/>
          <w:highlight w:val="none"/>
        </w:rPr>
        <w:t>4.</w:t>
      </w:r>
      <w:r>
        <w:rPr>
          <w:color w:val="auto"/>
          <w:szCs w:val="21"/>
          <w:highlight w:val="none"/>
        </w:rPr>
        <w:t>项目使用功能的要求</w:t>
      </w:r>
    </w:p>
    <w:p w14:paraId="1824DADD">
      <w:pPr>
        <w:pStyle w:val="14"/>
        <w:spacing w:line="400" w:lineRule="exact"/>
        <w:ind w:left="0" w:firstLine="420" w:firstLineChars="200"/>
        <w:rPr>
          <w:color w:val="auto"/>
          <w:szCs w:val="21"/>
          <w:highlight w:val="none"/>
        </w:rPr>
      </w:pPr>
      <w:r>
        <w:rPr>
          <w:rFonts w:hint="eastAsia"/>
          <w:color w:val="auto"/>
          <w:szCs w:val="21"/>
          <w:highlight w:val="none"/>
        </w:rPr>
        <w:t>5.设计</w:t>
      </w:r>
      <w:r>
        <w:rPr>
          <w:color w:val="auto"/>
          <w:szCs w:val="21"/>
          <w:highlight w:val="none"/>
        </w:rPr>
        <w:t>人员和设备要求</w:t>
      </w:r>
    </w:p>
    <w:p w14:paraId="05E9FB20">
      <w:pPr>
        <w:pStyle w:val="14"/>
        <w:spacing w:line="400" w:lineRule="exact"/>
        <w:ind w:left="0" w:firstLine="420" w:firstLineChars="200"/>
        <w:rPr>
          <w:color w:val="auto"/>
          <w:szCs w:val="21"/>
          <w:highlight w:val="none"/>
        </w:rPr>
      </w:pPr>
      <w:r>
        <w:rPr>
          <w:rFonts w:hint="eastAsia"/>
          <w:color w:val="auto"/>
          <w:szCs w:val="21"/>
          <w:highlight w:val="none"/>
        </w:rPr>
        <w:t>6.</w:t>
      </w:r>
      <w:r>
        <w:rPr>
          <w:color w:val="auto"/>
          <w:szCs w:val="21"/>
          <w:highlight w:val="none"/>
        </w:rPr>
        <w:t>其他要求</w:t>
      </w:r>
    </w:p>
    <w:p w14:paraId="14FAA08C">
      <w:pPr>
        <w:pStyle w:val="14"/>
        <w:spacing w:line="400" w:lineRule="exact"/>
        <w:ind w:left="0" w:firstLine="0"/>
        <w:rPr>
          <w:color w:val="auto"/>
          <w:szCs w:val="21"/>
          <w:highlight w:val="none"/>
        </w:rPr>
      </w:pPr>
      <w:r>
        <w:rPr>
          <w:rFonts w:hint="eastAsia" w:ascii="黑体" w:hAnsi="黑体" w:eastAsia="黑体"/>
          <w:color w:val="auto"/>
          <w:szCs w:val="21"/>
          <w:highlight w:val="none"/>
        </w:rPr>
        <w:t>二、适用规范标准</w:t>
      </w:r>
    </w:p>
    <w:p w14:paraId="12D8AE50">
      <w:pPr>
        <w:pStyle w:val="14"/>
        <w:spacing w:line="400" w:lineRule="exact"/>
        <w:ind w:left="0" w:firstLine="420" w:firstLineChars="200"/>
        <w:rPr>
          <w:color w:val="auto"/>
          <w:szCs w:val="21"/>
          <w:highlight w:val="none"/>
        </w:rPr>
      </w:pPr>
      <w:r>
        <w:rPr>
          <w:rFonts w:hint="eastAsia"/>
          <w:color w:val="auto"/>
          <w:szCs w:val="21"/>
          <w:highlight w:val="none"/>
        </w:rPr>
        <w:t>本工程的设计过程和成果必须符合国家有关工程建设标准强制性条文和交通运输部关于公路设计方面现行的标准、规范、规程、定额、办法、示例，以及浙江省关于公路工程设计方面的文件、规定。</w:t>
      </w:r>
    </w:p>
    <w:p w14:paraId="56A7AD20">
      <w:pPr>
        <w:pStyle w:val="14"/>
        <w:spacing w:line="400" w:lineRule="exact"/>
        <w:ind w:left="0" w:firstLine="420" w:firstLineChars="200"/>
        <w:rPr>
          <w:color w:val="auto"/>
          <w:szCs w:val="21"/>
          <w:highlight w:val="none"/>
        </w:rPr>
      </w:pPr>
      <w:r>
        <w:rPr>
          <w:rFonts w:hint="eastAsia"/>
          <w:color w:val="auto"/>
          <w:szCs w:val="21"/>
          <w:highlight w:val="none"/>
        </w:rPr>
        <w:t>设计人在设计工作中使用或参考上述标准、规范以外的技术标准、规范时，应征得发包人或发包人指定代表人的同意。</w:t>
      </w:r>
    </w:p>
    <w:p w14:paraId="4A9DEF08">
      <w:pPr>
        <w:pStyle w:val="14"/>
        <w:spacing w:line="400" w:lineRule="exact"/>
        <w:ind w:left="0" w:firstLine="420" w:firstLineChars="200"/>
        <w:rPr>
          <w:color w:val="auto"/>
          <w:szCs w:val="21"/>
          <w:highlight w:val="none"/>
        </w:rPr>
      </w:pPr>
      <w:r>
        <w:rPr>
          <w:rFonts w:hint="eastAsia"/>
          <w:color w:val="auto"/>
          <w:szCs w:val="21"/>
          <w:highlight w:val="none"/>
        </w:rPr>
        <w:t>在设计过程中，如果国家或有关部门颁布了新的技术标准或规范，则设计人应采用新的标准或规范进行设计。</w:t>
      </w:r>
    </w:p>
    <w:p w14:paraId="28CF6C1A">
      <w:pPr>
        <w:pStyle w:val="14"/>
        <w:spacing w:line="400" w:lineRule="exact"/>
        <w:ind w:left="0" w:firstLine="420" w:firstLineChars="200"/>
        <w:rPr>
          <w:color w:val="auto"/>
          <w:szCs w:val="21"/>
          <w:highlight w:val="none"/>
        </w:rPr>
      </w:pPr>
      <w:r>
        <w:rPr>
          <w:rFonts w:hint="eastAsia"/>
          <w:color w:val="auto"/>
          <w:szCs w:val="21"/>
          <w:highlight w:val="none"/>
        </w:rPr>
        <w:t>设计人在设计工作中必须使用中华人民共和国</w:t>
      </w:r>
      <w:r>
        <w:rPr>
          <w:color w:val="auto"/>
          <w:szCs w:val="21"/>
          <w:highlight w:val="none"/>
        </w:rPr>
        <w:t>《</w:t>
      </w:r>
      <w:r>
        <w:rPr>
          <w:rFonts w:hint="eastAsia"/>
          <w:color w:val="auto"/>
          <w:szCs w:val="21"/>
          <w:highlight w:val="none"/>
        </w:rPr>
        <w:t>工程建设标准强制性条文》（公路工程部分）和下述标准、规范（不限于）：</w:t>
      </w:r>
    </w:p>
    <w:p w14:paraId="7371E32D">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w:t>
      </w:r>
      <w:r>
        <w:rPr>
          <w:color w:val="auto"/>
          <w:szCs w:val="21"/>
          <w:highlight w:val="none"/>
        </w:rPr>
        <w:t>JTG B01-2014</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《公路工程技术标准》</w:t>
      </w:r>
      <w:r>
        <w:rPr>
          <w:color w:val="auto"/>
          <w:szCs w:val="21"/>
          <w:highlight w:val="none"/>
        </w:rPr>
        <w:t xml:space="preserve"> </w:t>
      </w:r>
    </w:p>
    <w:p w14:paraId="5A8469C7">
      <w:pPr>
        <w:pStyle w:val="14"/>
        <w:spacing w:line="400" w:lineRule="exact"/>
        <w:ind w:left="0" w:firstLine="420" w:firstLineChars="200"/>
        <w:rPr>
          <w:color w:val="auto"/>
          <w:szCs w:val="21"/>
          <w:highlight w:val="none"/>
        </w:rPr>
      </w:pPr>
      <w:r>
        <w:rPr>
          <w:color w:val="auto"/>
          <w:szCs w:val="21"/>
          <w:highlight w:val="none"/>
        </w:rPr>
        <w:t>2.</w:t>
      </w:r>
      <w:r>
        <w:rPr>
          <w:rFonts w:hint="eastAsia"/>
          <w:color w:val="auto"/>
          <w:szCs w:val="21"/>
          <w:highlight w:val="none"/>
        </w:rPr>
        <w:t>（</w:t>
      </w:r>
      <w:r>
        <w:rPr>
          <w:color w:val="auto"/>
          <w:szCs w:val="21"/>
          <w:highlight w:val="none"/>
        </w:rPr>
        <w:t>JTJ002-87</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《公路工程名词术语》</w:t>
      </w:r>
      <w:r>
        <w:rPr>
          <w:color w:val="auto"/>
          <w:szCs w:val="21"/>
          <w:highlight w:val="none"/>
        </w:rPr>
        <w:t xml:space="preserve"> </w:t>
      </w:r>
    </w:p>
    <w:p w14:paraId="56E84582">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w:t>
      </w:r>
      <w:r>
        <w:rPr>
          <w:color w:val="auto"/>
          <w:szCs w:val="21"/>
          <w:highlight w:val="none"/>
        </w:rPr>
        <w:t>JTJ003-86</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《公路自然区划标准》</w:t>
      </w:r>
      <w:r>
        <w:rPr>
          <w:color w:val="auto"/>
          <w:szCs w:val="21"/>
          <w:highlight w:val="none"/>
        </w:rPr>
        <w:t xml:space="preserve"> </w:t>
      </w:r>
    </w:p>
    <w:p w14:paraId="189E6765">
      <w:pPr>
        <w:pStyle w:val="14"/>
        <w:spacing w:line="400" w:lineRule="exact"/>
        <w:ind w:left="0" w:firstLine="420" w:firstLineChars="200"/>
        <w:rPr>
          <w:color w:val="auto"/>
          <w:szCs w:val="21"/>
          <w:highlight w:val="none"/>
        </w:rPr>
      </w:pPr>
      <w:r>
        <w:rPr>
          <w:color w:val="auto"/>
          <w:szCs w:val="21"/>
          <w:highlight w:val="none"/>
        </w:rPr>
        <w:t>4.（JTG/T 2231-01-2020</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《公路桥梁抗震设计规范》</w:t>
      </w:r>
    </w:p>
    <w:p w14:paraId="3D76A0B6">
      <w:pPr>
        <w:pStyle w:val="14"/>
        <w:spacing w:line="400" w:lineRule="exact"/>
        <w:ind w:left="0" w:firstLine="420" w:firstLineChars="200"/>
        <w:rPr>
          <w:color w:val="auto"/>
          <w:szCs w:val="21"/>
          <w:highlight w:val="none"/>
        </w:rPr>
      </w:pPr>
      <w:r>
        <w:rPr>
          <w:rFonts w:hint="eastAsia"/>
          <w:color w:val="auto"/>
          <w:szCs w:val="21"/>
          <w:highlight w:val="none"/>
        </w:rPr>
        <w:t>5.（JTG/T 2231-02-2021）   《公路桥梁抗震性能评价细则》</w:t>
      </w:r>
    </w:p>
    <w:p w14:paraId="4483E18F">
      <w:pPr>
        <w:pStyle w:val="14"/>
        <w:spacing w:line="400" w:lineRule="exact"/>
        <w:ind w:left="0" w:firstLine="420" w:firstLineChars="200"/>
        <w:rPr>
          <w:color w:val="auto"/>
          <w:szCs w:val="21"/>
          <w:highlight w:val="none"/>
        </w:rPr>
      </w:pPr>
      <w:r>
        <w:rPr>
          <w:rFonts w:hint="eastAsia"/>
          <w:color w:val="auto"/>
          <w:szCs w:val="21"/>
          <w:highlight w:val="none"/>
        </w:rPr>
        <w:t>6</w:t>
      </w:r>
      <w:r>
        <w:rPr>
          <w:color w:val="auto"/>
          <w:szCs w:val="21"/>
          <w:highlight w:val="none"/>
        </w:rPr>
        <w:t>.</w:t>
      </w:r>
      <w:r>
        <w:rPr>
          <w:rFonts w:hint="eastAsia"/>
          <w:color w:val="auto"/>
          <w:szCs w:val="21"/>
          <w:highlight w:val="none"/>
        </w:rPr>
        <w:t>（</w:t>
      </w:r>
      <w:r>
        <w:rPr>
          <w:color w:val="auto"/>
          <w:szCs w:val="21"/>
          <w:highlight w:val="none"/>
        </w:rPr>
        <w:t>JTG B03-2006</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《公路建设项目环境影响评价规范》</w:t>
      </w:r>
      <w:r>
        <w:rPr>
          <w:color w:val="auto"/>
          <w:szCs w:val="21"/>
          <w:highlight w:val="none"/>
        </w:rPr>
        <w:t xml:space="preserve"> </w:t>
      </w:r>
    </w:p>
    <w:p w14:paraId="4298E7D0">
      <w:pPr>
        <w:pStyle w:val="14"/>
        <w:spacing w:line="400" w:lineRule="exact"/>
        <w:ind w:left="0" w:firstLine="420" w:firstLineChars="200"/>
        <w:rPr>
          <w:color w:val="auto"/>
          <w:szCs w:val="21"/>
          <w:highlight w:val="none"/>
        </w:rPr>
      </w:pPr>
      <w:r>
        <w:rPr>
          <w:rFonts w:hint="eastAsia"/>
          <w:color w:val="auto"/>
          <w:szCs w:val="21"/>
          <w:highlight w:val="none"/>
        </w:rPr>
        <w:t>7</w:t>
      </w:r>
      <w:r>
        <w:rPr>
          <w:color w:val="auto"/>
          <w:szCs w:val="21"/>
          <w:highlight w:val="none"/>
        </w:rPr>
        <w:t>.</w:t>
      </w:r>
      <w:r>
        <w:rPr>
          <w:rFonts w:hint="eastAsia"/>
          <w:color w:val="auto"/>
          <w:szCs w:val="21"/>
          <w:highlight w:val="none"/>
        </w:rPr>
        <w:t>（</w:t>
      </w:r>
      <w:r>
        <w:rPr>
          <w:color w:val="auto"/>
          <w:szCs w:val="21"/>
          <w:highlight w:val="none"/>
        </w:rPr>
        <w:t>JTG B0</w:t>
      </w:r>
      <w:r>
        <w:rPr>
          <w:rFonts w:hint="eastAsia"/>
          <w:color w:val="auto"/>
          <w:szCs w:val="21"/>
          <w:highlight w:val="none"/>
        </w:rPr>
        <w:t>4</w:t>
      </w:r>
      <w:r>
        <w:rPr>
          <w:color w:val="auto"/>
          <w:szCs w:val="21"/>
          <w:highlight w:val="none"/>
        </w:rPr>
        <w:t>-20</w:t>
      </w:r>
      <w:r>
        <w:rPr>
          <w:rFonts w:hint="eastAsia"/>
          <w:color w:val="auto"/>
          <w:szCs w:val="21"/>
          <w:highlight w:val="none"/>
        </w:rPr>
        <w:t>10）</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《公路环境保护设计规范》</w:t>
      </w:r>
      <w:r>
        <w:rPr>
          <w:color w:val="auto"/>
          <w:szCs w:val="21"/>
          <w:highlight w:val="none"/>
        </w:rPr>
        <w:t xml:space="preserve"> </w:t>
      </w:r>
    </w:p>
    <w:p w14:paraId="57467EBF">
      <w:pPr>
        <w:pStyle w:val="14"/>
        <w:spacing w:line="400" w:lineRule="exact"/>
        <w:ind w:left="0" w:firstLine="420" w:firstLineChars="200"/>
        <w:rPr>
          <w:color w:val="auto"/>
          <w:szCs w:val="21"/>
          <w:highlight w:val="none"/>
        </w:rPr>
      </w:pPr>
      <w:r>
        <w:rPr>
          <w:rFonts w:hint="eastAsia"/>
          <w:color w:val="auto"/>
          <w:szCs w:val="21"/>
          <w:highlight w:val="none"/>
        </w:rPr>
        <w:t>8</w:t>
      </w:r>
      <w:r>
        <w:rPr>
          <w:color w:val="auto"/>
          <w:szCs w:val="21"/>
          <w:highlight w:val="none"/>
        </w:rPr>
        <w:t>.</w:t>
      </w:r>
      <w:r>
        <w:rPr>
          <w:rFonts w:hint="eastAsia"/>
          <w:color w:val="auto"/>
          <w:szCs w:val="21"/>
          <w:highlight w:val="none"/>
        </w:rPr>
        <w:t>（</w:t>
      </w:r>
      <w:r>
        <w:rPr>
          <w:color w:val="auto"/>
          <w:szCs w:val="21"/>
          <w:highlight w:val="none"/>
        </w:rPr>
        <w:t>JTG C10-2007</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《公路勘测规范》</w:t>
      </w:r>
      <w:r>
        <w:rPr>
          <w:color w:val="auto"/>
          <w:szCs w:val="21"/>
          <w:highlight w:val="none"/>
        </w:rPr>
        <w:t xml:space="preserve"> </w:t>
      </w:r>
    </w:p>
    <w:p w14:paraId="5A12CAFA">
      <w:pPr>
        <w:pStyle w:val="14"/>
        <w:spacing w:line="400" w:lineRule="exact"/>
        <w:ind w:left="0" w:firstLine="420" w:firstLineChars="200"/>
        <w:rPr>
          <w:color w:val="auto"/>
          <w:szCs w:val="21"/>
          <w:highlight w:val="none"/>
        </w:rPr>
      </w:pPr>
      <w:r>
        <w:rPr>
          <w:rFonts w:hint="eastAsia"/>
          <w:color w:val="auto"/>
          <w:szCs w:val="21"/>
          <w:highlight w:val="none"/>
        </w:rPr>
        <w:t>9</w:t>
      </w:r>
      <w:r>
        <w:rPr>
          <w:color w:val="auto"/>
          <w:szCs w:val="21"/>
          <w:highlight w:val="none"/>
        </w:rPr>
        <w:t>.</w:t>
      </w:r>
      <w:r>
        <w:rPr>
          <w:rFonts w:hint="eastAsia"/>
          <w:color w:val="auto"/>
          <w:szCs w:val="21"/>
          <w:highlight w:val="none"/>
        </w:rPr>
        <w:t>（</w:t>
      </w:r>
      <w:r>
        <w:rPr>
          <w:color w:val="auto"/>
          <w:szCs w:val="21"/>
          <w:highlight w:val="none"/>
        </w:rPr>
        <w:t>JT</w:t>
      </w:r>
      <w:r>
        <w:rPr>
          <w:rFonts w:hint="eastAsia"/>
          <w:color w:val="auto"/>
          <w:szCs w:val="21"/>
          <w:highlight w:val="none"/>
        </w:rPr>
        <w:t>G C20</w:t>
      </w:r>
      <w:r>
        <w:rPr>
          <w:color w:val="auto"/>
          <w:szCs w:val="21"/>
          <w:highlight w:val="none"/>
        </w:rPr>
        <w:t>-</w:t>
      </w:r>
      <w:r>
        <w:rPr>
          <w:rFonts w:hint="eastAsia"/>
          <w:color w:val="auto"/>
          <w:szCs w:val="21"/>
          <w:highlight w:val="none"/>
        </w:rPr>
        <w:t>2011）</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《公路工程地质勘察规范》</w:t>
      </w:r>
      <w:r>
        <w:rPr>
          <w:color w:val="auto"/>
          <w:szCs w:val="21"/>
          <w:highlight w:val="none"/>
        </w:rPr>
        <w:t xml:space="preserve"> </w:t>
      </w:r>
    </w:p>
    <w:p w14:paraId="28BF00AE">
      <w:pPr>
        <w:pStyle w:val="14"/>
        <w:spacing w:line="400" w:lineRule="exact"/>
        <w:ind w:left="0" w:firstLine="420" w:firstLineChars="200"/>
        <w:rPr>
          <w:color w:val="auto"/>
          <w:szCs w:val="21"/>
          <w:highlight w:val="none"/>
        </w:rPr>
      </w:pPr>
      <w:r>
        <w:rPr>
          <w:rFonts w:hint="eastAsia"/>
          <w:color w:val="auto"/>
          <w:szCs w:val="21"/>
          <w:highlight w:val="none"/>
        </w:rPr>
        <w:t>10</w:t>
      </w:r>
      <w:r>
        <w:rPr>
          <w:color w:val="auto"/>
          <w:szCs w:val="21"/>
          <w:highlight w:val="none"/>
        </w:rPr>
        <w:t>.</w:t>
      </w:r>
      <w:r>
        <w:rPr>
          <w:rFonts w:hint="eastAsia"/>
          <w:color w:val="auto"/>
          <w:szCs w:val="21"/>
          <w:highlight w:val="none"/>
        </w:rPr>
        <w:t>（</w:t>
      </w:r>
      <w:r>
        <w:rPr>
          <w:color w:val="auto"/>
          <w:szCs w:val="21"/>
          <w:highlight w:val="none"/>
        </w:rPr>
        <w:t>JTG C30-2015</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《公路工程水文勘测设计规范》</w:t>
      </w:r>
      <w:r>
        <w:rPr>
          <w:color w:val="auto"/>
          <w:szCs w:val="21"/>
          <w:highlight w:val="none"/>
        </w:rPr>
        <w:t xml:space="preserve"> </w:t>
      </w:r>
    </w:p>
    <w:p w14:paraId="381E0C8A">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1</w:t>
      </w:r>
      <w:r>
        <w:rPr>
          <w:color w:val="auto"/>
          <w:szCs w:val="21"/>
          <w:highlight w:val="none"/>
        </w:rPr>
        <w:t>.</w:t>
      </w:r>
      <w:r>
        <w:rPr>
          <w:rFonts w:hint="eastAsia"/>
          <w:color w:val="auto"/>
          <w:szCs w:val="21"/>
          <w:highlight w:val="none"/>
        </w:rPr>
        <w:t>（</w:t>
      </w:r>
      <w:r>
        <w:rPr>
          <w:color w:val="auto"/>
          <w:szCs w:val="21"/>
          <w:highlight w:val="none"/>
        </w:rPr>
        <w:t>JTG 3430-2020</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《公路土工试验规程》 </w:t>
      </w:r>
    </w:p>
    <w:p w14:paraId="33A866A6">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2</w:t>
      </w:r>
      <w:r>
        <w:rPr>
          <w:color w:val="auto"/>
          <w:szCs w:val="21"/>
          <w:highlight w:val="none"/>
        </w:rPr>
        <w:t>.</w:t>
      </w:r>
      <w:r>
        <w:rPr>
          <w:rFonts w:hint="eastAsia"/>
          <w:color w:val="auto"/>
          <w:szCs w:val="21"/>
          <w:highlight w:val="none"/>
        </w:rPr>
        <w:t>（</w:t>
      </w:r>
      <w:r>
        <w:rPr>
          <w:color w:val="auto"/>
          <w:szCs w:val="21"/>
          <w:highlight w:val="none"/>
        </w:rPr>
        <w:t>JTG D20-2017</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《公路路线设计规范》</w:t>
      </w:r>
      <w:r>
        <w:rPr>
          <w:color w:val="auto"/>
          <w:szCs w:val="21"/>
          <w:highlight w:val="none"/>
        </w:rPr>
        <w:t xml:space="preserve"> </w:t>
      </w:r>
    </w:p>
    <w:p w14:paraId="6E0A2DE5">
      <w:pPr>
        <w:pStyle w:val="14"/>
        <w:spacing w:line="400" w:lineRule="exact"/>
        <w:ind w:left="0" w:firstLine="420" w:firstLineChars="200"/>
        <w:rPr>
          <w:color w:val="auto"/>
          <w:szCs w:val="21"/>
          <w:highlight w:val="none"/>
        </w:rPr>
      </w:pPr>
      <w:r>
        <w:rPr>
          <w:rFonts w:hint="eastAsia"/>
          <w:color w:val="auto"/>
          <w:szCs w:val="21"/>
          <w:highlight w:val="none"/>
        </w:rPr>
        <w:t>13.（</w:t>
      </w:r>
      <w:r>
        <w:rPr>
          <w:color w:val="auto"/>
          <w:szCs w:val="21"/>
          <w:highlight w:val="none"/>
        </w:rPr>
        <w:t>JTG/T D21-2014</w:t>
      </w:r>
      <w:r>
        <w:rPr>
          <w:rFonts w:hint="eastAsia"/>
          <w:color w:val="auto"/>
          <w:szCs w:val="21"/>
          <w:highlight w:val="none"/>
        </w:rPr>
        <w:t>）       《</w:t>
      </w:r>
      <w:r>
        <w:rPr>
          <w:color w:val="auto"/>
          <w:szCs w:val="21"/>
          <w:highlight w:val="none"/>
        </w:rPr>
        <w:t>公路立体交叉设计细则</w:t>
      </w:r>
      <w:r>
        <w:rPr>
          <w:rFonts w:hint="eastAsia"/>
          <w:color w:val="auto"/>
          <w:szCs w:val="21"/>
          <w:highlight w:val="none"/>
        </w:rPr>
        <w:t>》</w:t>
      </w:r>
    </w:p>
    <w:p w14:paraId="5AF4E1E4">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4</w:t>
      </w:r>
      <w:r>
        <w:rPr>
          <w:color w:val="auto"/>
          <w:szCs w:val="21"/>
          <w:highlight w:val="none"/>
        </w:rPr>
        <w:t>.</w:t>
      </w:r>
      <w:r>
        <w:rPr>
          <w:rFonts w:hint="eastAsia"/>
          <w:color w:val="auto"/>
          <w:szCs w:val="21"/>
          <w:highlight w:val="none"/>
        </w:rPr>
        <w:t>（</w:t>
      </w:r>
      <w:r>
        <w:rPr>
          <w:color w:val="auto"/>
          <w:szCs w:val="21"/>
          <w:highlight w:val="none"/>
        </w:rPr>
        <w:t>JTG D30-2015</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《公路路基设计规范》</w:t>
      </w:r>
      <w:r>
        <w:rPr>
          <w:color w:val="auto"/>
          <w:szCs w:val="21"/>
          <w:highlight w:val="none"/>
        </w:rPr>
        <w:t xml:space="preserve"> </w:t>
      </w:r>
    </w:p>
    <w:p w14:paraId="278EC95A">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5</w:t>
      </w:r>
      <w:r>
        <w:rPr>
          <w:color w:val="auto"/>
          <w:szCs w:val="21"/>
          <w:highlight w:val="none"/>
        </w:rPr>
        <w:t>.</w:t>
      </w:r>
      <w:r>
        <w:rPr>
          <w:rFonts w:hint="eastAsia"/>
          <w:color w:val="auto"/>
          <w:szCs w:val="21"/>
          <w:highlight w:val="none"/>
        </w:rPr>
        <w:t>（</w:t>
      </w:r>
      <w:r>
        <w:rPr>
          <w:color w:val="auto"/>
          <w:szCs w:val="21"/>
          <w:highlight w:val="none"/>
        </w:rPr>
        <w:t>JTG D50-2017</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《公路沥青路面设计规范》</w:t>
      </w:r>
    </w:p>
    <w:p w14:paraId="5B586BD0">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6</w:t>
      </w:r>
      <w:r>
        <w:rPr>
          <w:color w:val="auto"/>
          <w:szCs w:val="21"/>
          <w:highlight w:val="none"/>
        </w:rPr>
        <w:t>.</w:t>
      </w:r>
      <w:r>
        <w:rPr>
          <w:rFonts w:hint="eastAsia"/>
          <w:color w:val="auto"/>
          <w:szCs w:val="21"/>
          <w:highlight w:val="none"/>
        </w:rPr>
        <w:t>（</w:t>
      </w:r>
      <w:r>
        <w:rPr>
          <w:color w:val="auto"/>
          <w:szCs w:val="21"/>
          <w:highlight w:val="none"/>
        </w:rPr>
        <w:t>JTG D40-2011</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《公路水泥混凝土路面设计规范》</w:t>
      </w:r>
      <w:r>
        <w:rPr>
          <w:color w:val="auto"/>
          <w:szCs w:val="21"/>
          <w:highlight w:val="none"/>
        </w:rPr>
        <w:t xml:space="preserve"> </w:t>
      </w:r>
    </w:p>
    <w:p w14:paraId="1082B541">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7</w:t>
      </w:r>
      <w:r>
        <w:rPr>
          <w:color w:val="auto"/>
          <w:szCs w:val="21"/>
          <w:highlight w:val="none"/>
        </w:rPr>
        <w:t>.</w:t>
      </w:r>
      <w:r>
        <w:rPr>
          <w:rFonts w:hint="eastAsia"/>
          <w:color w:val="auto"/>
          <w:szCs w:val="21"/>
          <w:highlight w:val="none"/>
        </w:rPr>
        <w:t>（</w:t>
      </w:r>
      <w:r>
        <w:rPr>
          <w:color w:val="auto"/>
          <w:szCs w:val="21"/>
          <w:highlight w:val="none"/>
        </w:rPr>
        <w:t>JTGT D33-2012</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《公路排水设计规范》</w:t>
      </w:r>
      <w:r>
        <w:rPr>
          <w:color w:val="auto"/>
          <w:szCs w:val="21"/>
          <w:highlight w:val="none"/>
        </w:rPr>
        <w:t xml:space="preserve"> </w:t>
      </w:r>
    </w:p>
    <w:p w14:paraId="18C3DE53">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8</w:t>
      </w:r>
      <w:r>
        <w:rPr>
          <w:color w:val="auto"/>
          <w:szCs w:val="21"/>
          <w:highlight w:val="none"/>
        </w:rPr>
        <w:t>.</w:t>
      </w:r>
      <w:r>
        <w:rPr>
          <w:rFonts w:hint="eastAsia"/>
          <w:color w:val="auto"/>
          <w:szCs w:val="21"/>
          <w:highlight w:val="none"/>
        </w:rPr>
        <w:t>（</w:t>
      </w:r>
      <w:r>
        <w:rPr>
          <w:color w:val="auto"/>
          <w:szCs w:val="21"/>
          <w:highlight w:val="none"/>
        </w:rPr>
        <w:t>JTG D60-2015</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《公路桥涵设计通用规范》</w:t>
      </w:r>
      <w:r>
        <w:rPr>
          <w:color w:val="auto"/>
          <w:szCs w:val="21"/>
          <w:highlight w:val="none"/>
        </w:rPr>
        <w:t xml:space="preserve"> </w:t>
      </w:r>
    </w:p>
    <w:p w14:paraId="55927CA3">
      <w:pPr>
        <w:pStyle w:val="14"/>
        <w:spacing w:line="400" w:lineRule="exact"/>
        <w:ind w:left="0" w:firstLine="420" w:firstLineChars="200"/>
        <w:rPr>
          <w:color w:val="auto"/>
          <w:szCs w:val="21"/>
          <w:highlight w:val="none"/>
        </w:rPr>
      </w:pPr>
      <w:r>
        <w:rPr>
          <w:color w:val="auto"/>
          <w:szCs w:val="21"/>
          <w:highlight w:val="none"/>
        </w:rPr>
        <w:t>1</w:t>
      </w:r>
      <w:r>
        <w:rPr>
          <w:rFonts w:hint="eastAsia"/>
          <w:color w:val="auto"/>
          <w:szCs w:val="21"/>
          <w:highlight w:val="none"/>
        </w:rPr>
        <w:t>9</w:t>
      </w:r>
      <w:r>
        <w:rPr>
          <w:color w:val="auto"/>
          <w:szCs w:val="21"/>
          <w:highlight w:val="none"/>
        </w:rPr>
        <w:t>.</w:t>
      </w:r>
      <w:r>
        <w:rPr>
          <w:rFonts w:hint="eastAsia"/>
          <w:color w:val="auto"/>
          <w:szCs w:val="21"/>
          <w:highlight w:val="none"/>
        </w:rPr>
        <w:t>（</w:t>
      </w:r>
      <w:r>
        <w:rPr>
          <w:color w:val="auto"/>
          <w:szCs w:val="21"/>
          <w:highlight w:val="none"/>
        </w:rPr>
        <w:t>JTG D61-2005</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《公路圬工桥涵设计规范》</w:t>
      </w:r>
      <w:r>
        <w:rPr>
          <w:color w:val="auto"/>
          <w:szCs w:val="21"/>
          <w:highlight w:val="none"/>
        </w:rPr>
        <w:t xml:space="preserve"> </w:t>
      </w:r>
    </w:p>
    <w:p w14:paraId="1B55C340">
      <w:pPr>
        <w:pStyle w:val="14"/>
        <w:spacing w:line="400" w:lineRule="exact"/>
        <w:ind w:left="0" w:firstLine="420" w:firstLineChars="200"/>
        <w:rPr>
          <w:color w:val="auto"/>
          <w:szCs w:val="21"/>
          <w:highlight w:val="none"/>
        </w:rPr>
      </w:pPr>
      <w:r>
        <w:rPr>
          <w:rFonts w:hint="eastAsia"/>
          <w:color w:val="auto"/>
          <w:szCs w:val="21"/>
          <w:highlight w:val="none"/>
        </w:rPr>
        <w:t>20.（JTG 3362</w:t>
      </w:r>
      <w:r>
        <w:rPr>
          <w:color w:val="auto"/>
          <w:szCs w:val="21"/>
          <w:highlight w:val="none"/>
        </w:rPr>
        <w:t>-</w:t>
      </w:r>
      <w:r>
        <w:rPr>
          <w:rFonts w:hint="eastAsia"/>
          <w:color w:val="auto"/>
          <w:szCs w:val="21"/>
          <w:highlight w:val="none"/>
        </w:rPr>
        <w:t xml:space="preserve">2018）    </w:t>
      </w:r>
      <w:r>
        <w:rPr>
          <w:color w:val="auto"/>
          <w:szCs w:val="21"/>
          <w:highlight w:val="none"/>
        </w:rPr>
        <w:t xml:space="preserve">    </w:t>
      </w:r>
      <w:r>
        <w:rPr>
          <w:rFonts w:hint="eastAsia"/>
          <w:color w:val="auto"/>
          <w:szCs w:val="21"/>
          <w:highlight w:val="none"/>
        </w:rPr>
        <w:t xml:space="preserve">《公路钢筋混凝土及预应力混凝土桥涵设计规范》 </w:t>
      </w:r>
    </w:p>
    <w:p w14:paraId="0F0C1BFA">
      <w:pPr>
        <w:pStyle w:val="14"/>
        <w:spacing w:line="400" w:lineRule="exact"/>
        <w:ind w:left="0" w:firstLine="420" w:firstLineChars="200"/>
        <w:rPr>
          <w:color w:val="auto"/>
          <w:szCs w:val="21"/>
          <w:highlight w:val="none"/>
        </w:rPr>
      </w:pPr>
      <w:r>
        <w:rPr>
          <w:rFonts w:hint="eastAsia"/>
          <w:color w:val="auto"/>
          <w:szCs w:val="21"/>
          <w:highlight w:val="none"/>
        </w:rPr>
        <w:t xml:space="preserve">21.（JTG 3363—2019）   </w:t>
      </w:r>
      <w:r>
        <w:rPr>
          <w:color w:val="auto"/>
          <w:szCs w:val="21"/>
          <w:highlight w:val="none"/>
        </w:rPr>
        <w:t xml:space="preserve">    </w:t>
      </w:r>
      <w:r>
        <w:rPr>
          <w:rFonts w:hint="eastAsia"/>
          <w:color w:val="auto"/>
          <w:szCs w:val="21"/>
          <w:highlight w:val="none"/>
        </w:rPr>
        <w:t xml:space="preserve">《公路桥涵地基与基础设计规范》 </w:t>
      </w:r>
    </w:p>
    <w:p w14:paraId="52D5558D">
      <w:pPr>
        <w:pStyle w:val="14"/>
        <w:spacing w:line="400" w:lineRule="exact"/>
        <w:ind w:left="0" w:firstLine="420" w:firstLineChars="200"/>
        <w:rPr>
          <w:color w:val="auto"/>
          <w:szCs w:val="21"/>
          <w:highlight w:val="none"/>
        </w:rPr>
      </w:pPr>
      <w:r>
        <w:rPr>
          <w:rFonts w:hint="eastAsia"/>
          <w:color w:val="auto"/>
          <w:szCs w:val="21"/>
          <w:highlight w:val="none"/>
        </w:rPr>
        <w:t>22</w:t>
      </w:r>
      <w:r>
        <w:rPr>
          <w:color w:val="auto"/>
          <w:szCs w:val="21"/>
          <w:highlight w:val="none"/>
        </w:rPr>
        <w:t>.</w:t>
      </w:r>
      <w:r>
        <w:rPr>
          <w:rFonts w:hint="eastAsia"/>
          <w:color w:val="auto"/>
          <w:szCs w:val="21"/>
          <w:highlight w:val="none"/>
        </w:rPr>
        <w:t>（JTG D64—2015）        《公路钢结构桥梁设计规范》</w:t>
      </w:r>
    </w:p>
    <w:p w14:paraId="37C2989D">
      <w:pPr>
        <w:pStyle w:val="14"/>
        <w:spacing w:line="400" w:lineRule="exact"/>
        <w:ind w:left="0" w:firstLine="420" w:firstLineChars="200"/>
        <w:rPr>
          <w:color w:val="auto"/>
          <w:szCs w:val="21"/>
          <w:highlight w:val="none"/>
        </w:rPr>
      </w:pPr>
      <w:r>
        <w:rPr>
          <w:color w:val="auto"/>
          <w:szCs w:val="21"/>
          <w:highlight w:val="none"/>
        </w:rPr>
        <w:t>2</w:t>
      </w:r>
      <w:r>
        <w:rPr>
          <w:rFonts w:hint="eastAsia"/>
          <w:color w:val="auto"/>
          <w:szCs w:val="21"/>
          <w:highlight w:val="none"/>
        </w:rPr>
        <w:t>3</w:t>
      </w:r>
      <w:r>
        <w:rPr>
          <w:color w:val="auto"/>
          <w:szCs w:val="21"/>
          <w:highlight w:val="none"/>
        </w:rPr>
        <w:t>.</w:t>
      </w:r>
      <w:r>
        <w:rPr>
          <w:rFonts w:hint="eastAsia"/>
          <w:color w:val="auto"/>
          <w:szCs w:val="21"/>
          <w:highlight w:val="none"/>
        </w:rPr>
        <w:t>（JTG D81—2017）        《公路交通安全设施设计规范》</w:t>
      </w:r>
      <w:r>
        <w:rPr>
          <w:color w:val="auto"/>
          <w:szCs w:val="21"/>
          <w:highlight w:val="none"/>
        </w:rPr>
        <w:t xml:space="preserve"> </w:t>
      </w:r>
    </w:p>
    <w:p w14:paraId="0985443D">
      <w:pPr>
        <w:pStyle w:val="14"/>
        <w:spacing w:line="400" w:lineRule="exact"/>
        <w:ind w:left="0" w:firstLine="420" w:firstLineChars="200"/>
        <w:rPr>
          <w:color w:val="auto"/>
          <w:szCs w:val="21"/>
          <w:highlight w:val="none"/>
        </w:rPr>
      </w:pPr>
      <w:r>
        <w:rPr>
          <w:color w:val="auto"/>
          <w:szCs w:val="21"/>
          <w:highlight w:val="none"/>
        </w:rPr>
        <w:t>2</w:t>
      </w:r>
      <w:r>
        <w:rPr>
          <w:rFonts w:hint="eastAsia"/>
          <w:color w:val="auto"/>
          <w:szCs w:val="21"/>
          <w:highlight w:val="none"/>
        </w:rPr>
        <w:t>4</w:t>
      </w:r>
      <w:r>
        <w:rPr>
          <w:color w:val="auto"/>
          <w:szCs w:val="21"/>
          <w:highlight w:val="none"/>
        </w:rPr>
        <w:t>.</w:t>
      </w:r>
      <w:r>
        <w:rPr>
          <w:rFonts w:hint="eastAsia"/>
          <w:color w:val="auto"/>
          <w:szCs w:val="21"/>
          <w:highlight w:val="none"/>
        </w:rPr>
        <w:t>（JTG/T D81—2017）      《公路交通安全设施设计细则》</w:t>
      </w:r>
      <w:r>
        <w:rPr>
          <w:color w:val="auto"/>
          <w:szCs w:val="21"/>
          <w:highlight w:val="none"/>
        </w:rPr>
        <w:t xml:space="preserve"> </w:t>
      </w:r>
    </w:p>
    <w:p w14:paraId="78680B71">
      <w:pPr>
        <w:pStyle w:val="14"/>
        <w:spacing w:line="400" w:lineRule="exact"/>
        <w:ind w:left="0" w:firstLine="420" w:firstLineChars="200"/>
        <w:rPr>
          <w:color w:val="auto"/>
          <w:szCs w:val="21"/>
          <w:highlight w:val="none"/>
        </w:rPr>
      </w:pPr>
      <w:r>
        <w:rPr>
          <w:color w:val="auto"/>
          <w:szCs w:val="21"/>
          <w:highlight w:val="none"/>
        </w:rPr>
        <w:t>2</w:t>
      </w:r>
      <w:r>
        <w:rPr>
          <w:rFonts w:hint="eastAsia"/>
          <w:color w:val="auto"/>
          <w:szCs w:val="21"/>
          <w:highlight w:val="none"/>
        </w:rPr>
        <w:t>5</w:t>
      </w:r>
      <w:r>
        <w:rPr>
          <w:color w:val="auto"/>
          <w:szCs w:val="21"/>
          <w:highlight w:val="none"/>
        </w:rPr>
        <w:t>.</w:t>
      </w:r>
      <w:r>
        <w:rPr>
          <w:rFonts w:hint="eastAsia"/>
          <w:color w:val="auto"/>
          <w:szCs w:val="21"/>
          <w:highlight w:val="none"/>
        </w:rPr>
        <w:t>（</w:t>
      </w:r>
      <w:r>
        <w:rPr>
          <w:color w:val="auto"/>
          <w:szCs w:val="21"/>
          <w:highlight w:val="none"/>
        </w:rPr>
        <w:t>JTG</w:t>
      </w:r>
      <w:r>
        <w:rPr>
          <w:rFonts w:hint="eastAsia"/>
          <w:color w:val="auto"/>
          <w:szCs w:val="21"/>
          <w:highlight w:val="none"/>
        </w:rPr>
        <w:t>/T</w:t>
      </w:r>
      <w:r>
        <w:rPr>
          <w:color w:val="auto"/>
          <w:szCs w:val="21"/>
          <w:highlight w:val="none"/>
        </w:rPr>
        <w:t xml:space="preserve"> </w:t>
      </w:r>
      <w:r>
        <w:rPr>
          <w:rFonts w:hint="eastAsia"/>
          <w:color w:val="auto"/>
          <w:szCs w:val="21"/>
          <w:highlight w:val="none"/>
        </w:rPr>
        <w:t>331</w:t>
      </w:r>
      <w:r>
        <w:rPr>
          <w:color w:val="auto"/>
          <w:szCs w:val="21"/>
          <w:highlight w:val="none"/>
        </w:rPr>
        <w:t>0—20</w:t>
      </w:r>
      <w:r>
        <w:rPr>
          <w:rFonts w:hint="eastAsia"/>
          <w:color w:val="auto"/>
          <w:szCs w:val="21"/>
          <w:highlight w:val="none"/>
        </w:rPr>
        <w:t>19）       《</w:t>
      </w:r>
      <w:r>
        <w:rPr>
          <w:color w:val="auto"/>
          <w:szCs w:val="21"/>
          <w:highlight w:val="none"/>
        </w:rPr>
        <w:t>公路工程混凝土结构</w:t>
      </w:r>
      <w:r>
        <w:rPr>
          <w:rFonts w:hint="eastAsia"/>
          <w:color w:val="auto"/>
          <w:szCs w:val="21"/>
          <w:highlight w:val="none"/>
        </w:rPr>
        <w:t>耐久性</w:t>
      </w:r>
      <w:r>
        <w:rPr>
          <w:color w:val="auto"/>
          <w:szCs w:val="21"/>
          <w:highlight w:val="none"/>
        </w:rPr>
        <w:t>设计规范</w:t>
      </w:r>
      <w:r>
        <w:rPr>
          <w:rFonts w:hint="eastAsia"/>
          <w:color w:val="auto"/>
          <w:szCs w:val="21"/>
          <w:highlight w:val="none"/>
        </w:rPr>
        <w:t>》</w:t>
      </w:r>
      <w:r>
        <w:rPr>
          <w:color w:val="auto"/>
          <w:szCs w:val="21"/>
          <w:highlight w:val="none"/>
        </w:rPr>
        <w:t xml:space="preserve"> </w:t>
      </w:r>
    </w:p>
    <w:p w14:paraId="6B1296C4">
      <w:pPr>
        <w:pStyle w:val="14"/>
        <w:spacing w:line="400" w:lineRule="exact"/>
        <w:ind w:left="0" w:firstLine="420" w:firstLineChars="200"/>
        <w:rPr>
          <w:color w:val="auto"/>
          <w:szCs w:val="21"/>
          <w:highlight w:val="none"/>
        </w:rPr>
      </w:pPr>
      <w:r>
        <w:rPr>
          <w:rFonts w:hint="eastAsia"/>
          <w:color w:val="auto"/>
          <w:szCs w:val="21"/>
          <w:highlight w:val="none"/>
        </w:rPr>
        <w:t>26</w:t>
      </w:r>
      <w:r>
        <w:rPr>
          <w:color w:val="auto"/>
          <w:szCs w:val="21"/>
          <w:highlight w:val="none"/>
        </w:rPr>
        <w:t>.</w:t>
      </w:r>
      <w:r>
        <w:rPr>
          <w:rFonts w:hint="eastAsia"/>
          <w:color w:val="auto"/>
          <w:szCs w:val="21"/>
          <w:highlight w:val="none"/>
        </w:rPr>
        <w:t>（JTG B05—2015）        《公路项目安全性评价规范》</w:t>
      </w:r>
    </w:p>
    <w:p w14:paraId="5FBC025F">
      <w:pPr>
        <w:pStyle w:val="14"/>
        <w:spacing w:line="400" w:lineRule="exact"/>
        <w:ind w:left="0" w:firstLine="420" w:firstLineChars="200"/>
        <w:rPr>
          <w:color w:val="auto"/>
          <w:szCs w:val="21"/>
          <w:highlight w:val="none"/>
        </w:rPr>
      </w:pPr>
      <w:r>
        <w:rPr>
          <w:rFonts w:hint="eastAsia"/>
          <w:color w:val="auto"/>
          <w:szCs w:val="21"/>
          <w:highlight w:val="none"/>
        </w:rPr>
        <w:t>27.（</w:t>
      </w:r>
      <w:r>
        <w:rPr>
          <w:color w:val="auto"/>
          <w:szCs w:val="21"/>
          <w:highlight w:val="none"/>
        </w:rPr>
        <w:t>JTG 2120—2020</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w:t>
      </w:r>
      <w:r>
        <w:rPr>
          <w:color w:val="auto"/>
          <w:szCs w:val="21"/>
          <w:highlight w:val="none"/>
        </w:rPr>
        <w:t>《公路工程结构可靠性设计统一标准》</w:t>
      </w:r>
    </w:p>
    <w:p w14:paraId="52943B77">
      <w:pPr>
        <w:pStyle w:val="14"/>
        <w:spacing w:line="400" w:lineRule="exact"/>
        <w:ind w:left="0" w:firstLine="420" w:firstLineChars="200"/>
        <w:rPr>
          <w:color w:val="auto"/>
          <w:szCs w:val="21"/>
          <w:highlight w:val="none"/>
        </w:rPr>
      </w:pPr>
      <w:r>
        <w:rPr>
          <w:rFonts w:hint="eastAsia"/>
          <w:color w:val="auto"/>
          <w:szCs w:val="21"/>
          <w:highlight w:val="none"/>
        </w:rPr>
        <w:t>28</w:t>
      </w:r>
      <w:r>
        <w:rPr>
          <w:color w:val="auto"/>
          <w:szCs w:val="21"/>
          <w:highlight w:val="none"/>
        </w:rPr>
        <w:t>.</w:t>
      </w:r>
      <w:r>
        <w:rPr>
          <w:rFonts w:hint="eastAsia"/>
          <w:color w:val="auto"/>
          <w:szCs w:val="21"/>
          <w:highlight w:val="none"/>
        </w:rPr>
        <w:t>（</w:t>
      </w:r>
      <w:r>
        <w:rPr>
          <w:color w:val="auto"/>
          <w:szCs w:val="21"/>
          <w:highlight w:val="none"/>
        </w:rPr>
        <w:t>GB 50162-92</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《道路工程制图标准》</w:t>
      </w:r>
      <w:r>
        <w:rPr>
          <w:color w:val="auto"/>
          <w:szCs w:val="21"/>
          <w:highlight w:val="none"/>
        </w:rPr>
        <w:t xml:space="preserve"> </w:t>
      </w:r>
    </w:p>
    <w:p w14:paraId="6F729EE2">
      <w:pPr>
        <w:pStyle w:val="14"/>
        <w:spacing w:line="400" w:lineRule="exact"/>
        <w:ind w:left="0" w:firstLine="420" w:firstLineChars="200"/>
        <w:rPr>
          <w:color w:val="auto"/>
          <w:szCs w:val="21"/>
          <w:highlight w:val="none"/>
        </w:rPr>
      </w:pPr>
      <w:r>
        <w:rPr>
          <w:rFonts w:hint="eastAsia"/>
          <w:color w:val="auto"/>
          <w:szCs w:val="21"/>
          <w:highlight w:val="none"/>
        </w:rPr>
        <w:t>29</w:t>
      </w:r>
      <w:r>
        <w:rPr>
          <w:color w:val="auto"/>
          <w:szCs w:val="21"/>
          <w:highlight w:val="none"/>
        </w:rPr>
        <w:t>.</w:t>
      </w:r>
      <w:r>
        <w:rPr>
          <w:rFonts w:hint="eastAsia"/>
          <w:color w:val="auto"/>
          <w:szCs w:val="21"/>
          <w:highlight w:val="none"/>
        </w:rPr>
        <w:t>（交公路发〔</w:t>
      </w:r>
      <w:r>
        <w:rPr>
          <w:color w:val="auto"/>
          <w:szCs w:val="21"/>
          <w:highlight w:val="none"/>
        </w:rPr>
        <w:t>2007</w:t>
      </w:r>
      <w:r>
        <w:rPr>
          <w:rFonts w:hint="eastAsia"/>
          <w:color w:val="auto"/>
          <w:szCs w:val="21"/>
          <w:highlight w:val="none"/>
        </w:rPr>
        <w:t>〕</w:t>
      </w:r>
      <w:r>
        <w:rPr>
          <w:color w:val="auto"/>
          <w:szCs w:val="21"/>
          <w:highlight w:val="none"/>
        </w:rPr>
        <w:t>358</w:t>
      </w:r>
      <w:r>
        <w:rPr>
          <w:rFonts w:hint="eastAsia"/>
          <w:color w:val="auto"/>
          <w:szCs w:val="21"/>
          <w:highlight w:val="none"/>
        </w:rPr>
        <w:t>号）《公路工程基本建设项目设计文件编制办法》</w:t>
      </w:r>
      <w:r>
        <w:rPr>
          <w:color w:val="auto"/>
          <w:szCs w:val="21"/>
          <w:highlight w:val="none"/>
        </w:rPr>
        <w:t xml:space="preserve"> </w:t>
      </w:r>
    </w:p>
    <w:p w14:paraId="17DA70B9">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 xml:space="preserve">0.（JTG 3830-2018）        《公路工程建设项目概算预算编制办法》 </w:t>
      </w:r>
    </w:p>
    <w:p w14:paraId="11AE3697">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 xml:space="preserve">1.（JTG/T 3831-2018）      《公路工程概算定额》 </w:t>
      </w:r>
    </w:p>
    <w:p w14:paraId="59157C6A">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 xml:space="preserve">2.（JTG/T 3832-2018）      《公路工程预算定额》 </w:t>
      </w:r>
    </w:p>
    <w:p w14:paraId="7C004A82">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 xml:space="preserve">3.（JTG-T 3833-2018）      《公路工程机械台班费用定额》 </w:t>
      </w:r>
    </w:p>
    <w:p w14:paraId="59D0E1B8">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4</w:t>
      </w:r>
      <w:r>
        <w:rPr>
          <w:color w:val="auto"/>
          <w:szCs w:val="21"/>
          <w:highlight w:val="none"/>
        </w:rPr>
        <w:t>.</w:t>
      </w:r>
      <w:r>
        <w:rPr>
          <w:rFonts w:hint="eastAsia"/>
          <w:color w:val="auto"/>
          <w:szCs w:val="21"/>
          <w:highlight w:val="none"/>
        </w:rPr>
        <w:t>（建标</w:t>
      </w:r>
      <w:r>
        <w:rPr>
          <w:color w:val="auto"/>
          <w:szCs w:val="21"/>
          <w:highlight w:val="none"/>
        </w:rPr>
        <w:t>〔2011</w:t>
      </w:r>
      <w:r>
        <w:rPr>
          <w:rFonts w:hint="eastAsia"/>
          <w:color w:val="auto"/>
          <w:szCs w:val="21"/>
          <w:highlight w:val="none"/>
        </w:rPr>
        <w:t>〕</w:t>
      </w:r>
      <w:r>
        <w:rPr>
          <w:color w:val="auto"/>
          <w:szCs w:val="21"/>
          <w:highlight w:val="none"/>
        </w:rPr>
        <w:t>124</w:t>
      </w:r>
      <w:r>
        <w:rPr>
          <w:rFonts w:hint="eastAsia"/>
          <w:color w:val="auto"/>
          <w:szCs w:val="21"/>
          <w:highlight w:val="none"/>
        </w:rPr>
        <w:t>号）</w:t>
      </w:r>
      <w:r>
        <w:rPr>
          <w:color w:val="auto"/>
          <w:szCs w:val="21"/>
          <w:highlight w:val="none"/>
        </w:rPr>
        <w:t xml:space="preserve"> </w:t>
      </w:r>
      <w:r>
        <w:rPr>
          <w:rFonts w:hint="eastAsia"/>
          <w:color w:val="auto"/>
          <w:szCs w:val="21"/>
          <w:highlight w:val="none"/>
        </w:rPr>
        <w:t xml:space="preserve">   《公路工程建设项目用地指标》</w:t>
      </w:r>
      <w:r>
        <w:rPr>
          <w:color w:val="auto"/>
          <w:szCs w:val="21"/>
          <w:highlight w:val="none"/>
        </w:rPr>
        <w:t xml:space="preserve"> </w:t>
      </w:r>
    </w:p>
    <w:p w14:paraId="46928549">
      <w:pPr>
        <w:pStyle w:val="14"/>
        <w:spacing w:line="400" w:lineRule="exact"/>
        <w:ind w:left="0" w:firstLine="420" w:firstLineChars="200"/>
        <w:rPr>
          <w:color w:val="auto"/>
          <w:szCs w:val="21"/>
          <w:highlight w:val="none"/>
        </w:rPr>
      </w:pPr>
      <w:r>
        <w:rPr>
          <w:color w:val="auto"/>
          <w:szCs w:val="21"/>
          <w:highlight w:val="none"/>
        </w:rPr>
        <w:t>3</w:t>
      </w:r>
      <w:r>
        <w:rPr>
          <w:rFonts w:hint="eastAsia"/>
          <w:color w:val="auto"/>
          <w:szCs w:val="21"/>
          <w:highlight w:val="none"/>
        </w:rPr>
        <w:t>5</w:t>
      </w:r>
      <w:r>
        <w:rPr>
          <w:color w:val="auto"/>
          <w:szCs w:val="21"/>
          <w:highlight w:val="none"/>
        </w:rPr>
        <w:t>.</w:t>
      </w:r>
      <w:r>
        <w:rPr>
          <w:rFonts w:hint="eastAsia"/>
          <w:color w:val="auto"/>
          <w:szCs w:val="21"/>
          <w:highlight w:val="none"/>
        </w:rPr>
        <w:t>（</w:t>
      </w:r>
      <w:r>
        <w:rPr>
          <w:color w:val="auto"/>
          <w:szCs w:val="21"/>
          <w:highlight w:val="none"/>
        </w:rPr>
        <w:t>CESC09</w:t>
      </w:r>
      <w:r>
        <w:rPr>
          <w:rFonts w:hint="eastAsia"/>
          <w:color w:val="auto"/>
          <w:szCs w:val="21"/>
          <w:highlight w:val="none"/>
        </w:rPr>
        <w:t>-</w:t>
      </w:r>
      <w:r>
        <w:rPr>
          <w:color w:val="auto"/>
          <w:szCs w:val="21"/>
          <w:highlight w:val="none"/>
        </w:rPr>
        <w:t>89</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《工业企业程控用户交换机工程设计规范》</w:t>
      </w:r>
      <w:r>
        <w:rPr>
          <w:color w:val="auto"/>
          <w:szCs w:val="21"/>
          <w:highlight w:val="none"/>
        </w:rPr>
        <w:t xml:space="preserve"> </w:t>
      </w:r>
    </w:p>
    <w:p w14:paraId="6864F0E3">
      <w:pPr>
        <w:pStyle w:val="14"/>
        <w:spacing w:line="400" w:lineRule="exact"/>
        <w:ind w:left="0" w:firstLine="420" w:firstLineChars="200"/>
        <w:rPr>
          <w:color w:val="auto"/>
          <w:szCs w:val="21"/>
          <w:highlight w:val="none"/>
        </w:rPr>
      </w:pPr>
      <w:r>
        <w:rPr>
          <w:rFonts w:hint="eastAsia"/>
          <w:color w:val="auto"/>
          <w:szCs w:val="21"/>
          <w:highlight w:val="none"/>
        </w:rPr>
        <w:t>36</w:t>
      </w:r>
      <w:r>
        <w:rPr>
          <w:color w:val="auto"/>
          <w:szCs w:val="21"/>
          <w:highlight w:val="none"/>
        </w:rPr>
        <w:t>.</w:t>
      </w:r>
      <w:r>
        <w:rPr>
          <w:rFonts w:hint="eastAsia"/>
          <w:color w:val="auto"/>
          <w:szCs w:val="21"/>
          <w:highlight w:val="none"/>
        </w:rPr>
        <w:t>（</w:t>
      </w:r>
      <w:r>
        <w:rPr>
          <w:color w:val="auto"/>
          <w:szCs w:val="21"/>
          <w:highlight w:val="none"/>
        </w:rPr>
        <w:t>YD</w:t>
      </w:r>
      <w:r>
        <w:rPr>
          <w:rFonts w:hint="eastAsia"/>
          <w:color w:val="auto"/>
          <w:szCs w:val="21"/>
          <w:highlight w:val="none"/>
        </w:rPr>
        <w:t xml:space="preserve"> </w:t>
      </w:r>
      <w:r>
        <w:rPr>
          <w:color w:val="auto"/>
          <w:szCs w:val="21"/>
          <w:highlight w:val="none"/>
        </w:rPr>
        <w:t>5102-2003</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《长途通信干线电缆线路工程设计规范》</w:t>
      </w:r>
    </w:p>
    <w:p w14:paraId="438B4055">
      <w:pPr>
        <w:pStyle w:val="14"/>
        <w:spacing w:line="400" w:lineRule="exact"/>
        <w:ind w:left="0" w:firstLine="420" w:firstLineChars="200"/>
        <w:rPr>
          <w:color w:val="auto"/>
          <w:szCs w:val="21"/>
          <w:highlight w:val="none"/>
        </w:rPr>
      </w:pPr>
      <w:r>
        <w:rPr>
          <w:rFonts w:hint="eastAsia"/>
          <w:color w:val="auto"/>
          <w:szCs w:val="21"/>
          <w:highlight w:val="none"/>
        </w:rPr>
        <w:t>37</w:t>
      </w:r>
      <w:r>
        <w:rPr>
          <w:color w:val="auto"/>
          <w:szCs w:val="21"/>
          <w:highlight w:val="none"/>
        </w:rPr>
        <w:t>.</w:t>
      </w:r>
      <w:r>
        <w:rPr>
          <w:rFonts w:hint="eastAsia"/>
          <w:color w:val="auto"/>
          <w:szCs w:val="21"/>
          <w:highlight w:val="none"/>
        </w:rPr>
        <w:t>（</w:t>
      </w:r>
      <w:r>
        <w:rPr>
          <w:color w:val="auto"/>
          <w:szCs w:val="21"/>
          <w:highlight w:val="none"/>
        </w:rPr>
        <w:t>GB51158-2015</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《通信线路工程设计规范》</w:t>
      </w:r>
      <w:r>
        <w:rPr>
          <w:color w:val="auto"/>
          <w:szCs w:val="21"/>
          <w:highlight w:val="none"/>
        </w:rPr>
        <w:t xml:space="preserve"> </w:t>
      </w:r>
    </w:p>
    <w:p w14:paraId="6F813822">
      <w:pPr>
        <w:pStyle w:val="14"/>
        <w:spacing w:line="400" w:lineRule="exact"/>
        <w:ind w:left="0" w:firstLine="420" w:firstLineChars="200"/>
        <w:rPr>
          <w:color w:val="auto"/>
          <w:szCs w:val="21"/>
          <w:highlight w:val="none"/>
        </w:rPr>
      </w:pPr>
      <w:r>
        <w:rPr>
          <w:rFonts w:hint="eastAsia"/>
          <w:color w:val="auto"/>
          <w:szCs w:val="21"/>
          <w:highlight w:val="none"/>
        </w:rPr>
        <w:t>38.（</w:t>
      </w:r>
      <w:r>
        <w:rPr>
          <w:color w:val="auto"/>
          <w:szCs w:val="21"/>
          <w:highlight w:val="none"/>
        </w:rPr>
        <w:t>YDJ 44-89</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 xml:space="preserve">         《电信网光纤数字传输系统工程施工及验收暂行技术规定》</w:t>
      </w:r>
      <w:r>
        <w:rPr>
          <w:color w:val="auto"/>
          <w:szCs w:val="21"/>
          <w:highlight w:val="none"/>
        </w:rPr>
        <w:t xml:space="preserve"> </w:t>
      </w:r>
    </w:p>
    <w:p w14:paraId="5ED5D456">
      <w:pPr>
        <w:pStyle w:val="14"/>
        <w:spacing w:line="400" w:lineRule="exact"/>
        <w:ind w:left="0" w:firstLine="420" w:firstLineChars="200"/>
        <w:rPr>
          <w:color w:val="auto"/>
          <w:szCs w:val="21"/>
          <w:highlight w:val="none"/>
        </w:rPr>
      </w:pPr>
      <w:r>
        <w:rPr>
          <w:rFonts w:hint="eastAsia"/>
          <w:color w:val="auto"/>
          <w:szCs w:val="21"/>
          <w:highlight w:val="none"/>
        </w:rPr>
        <w:t>39</w:t>
      </w:r>
      <w:r>
        <w:rPr>
          <w:color w:val="auto"/>
          <w:szCs w:val="21"/>
          <w:highlight w:val="none"/>
        </w:rPr>
        <w:t>.</w:t>
      </w:r>
      <w:r>
        <w:rPr>
          <w:rFonts w:hint="eastAsia"/>
          <w:color w:val="auto"/>
          <w:szCs w:val="21"/>
          <w:highlight w:val="none"/>
        </w:rPr>
        <w:t>（</w:t>
      </w:r>
      <w:r>
        <w:rPr>
          <w:color w:val="auto"/>
          <w:szCs w:val="21"/>
          <w:highlight w:val="none"/>
        </w:rPr>
        <w:t>GB50689-2011</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《通信局（站）防雷与接地工程设计规范》</w:t>
      </w:r>
    </w:p>
    <w:p w14:paraId="1A6BCCD5">
      <w:pPr>
        <w:pStyle w:val="14"/>
        <w:spacing w:line="400" w:lineRule="exact"/>
        <w:ind w:left="0" w:firstLine="420" w:firstLineChars="200"/>
        <w:rPr>
          <w:color w:val="auto"/>
          <w:szCs w:val="21"/>
          <w:highlight w:val="none"/>
        </w:rPr>
      </w:pPr>
      <w:r>
        <w:rPr>
          <w:rFonts w:hint="eastAsia"/>
          <w:color w:val="auto"/>
          <w:szCs w:val="21"/>
          <w:highlight w:val="none"/>
        </w:rPr>
        <w:t>40</w:t>
      </w:r>
      <w:r>
        <w:rPr>
          <w:color w:val="auto"/>
          <w:szCs w:val="21"/>
          <w:highlight w:val="none"/>
        </w:rPr>
        <w:t>.</w:t>
      </w:r>
      <w:r>
        <w:rPr>
          <w:rFonts w:hint="eastAsia"/>
          <w:color w:val="auto"/>
          <w:szCs w:val="21"/>
          <w:highlight w:val="none"/>
        </w:rPr>
        <w:t>（</w:t>
      </w:r>
      <w:r>
        <w:rPr>
          <w:color w:val="auto"/>
          <w:szCs w:val="21"/>
          <w:highlight w:val="none"/>
        </w:rPr>
        <w:t>GB/T</w:t>
      </w:r>
      <w:r>
        <w:rPr>
          <w:rFonts w:hint="eastAsia"/>
          <w:color w:val="auto"/>
          <w:szCs w:val="21"/>
          <w:highlight w:val="none"/>
        </w:rPr>
        <w:t xml:space="preserve"> </w:t>
      </w:r>
      <w:r>
        <w:rPr>
          <w:color w:val="auto"/>
          <w:szCs w:val="21"/>
          <w:highlight w:val="none"/>
        </w:rPr>
        <w:t>50374-2018</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《通信管道工程施工及验收技术规范》</w:t>
      </w:r>
      <w:r>
        <w:rPr>
          <w:color w:val="auto"/>
          <w:szCs w:val="21"/>
          <w:highlight w:val="none"/>
        </w:rPr>
        <w:t xml:space="preserve"> </w:t>
      </w:r>
    </w:p>
    <w:p w14:paraId="55F7DB0D">
      <w:pPr>
        <w:pStyle w:val="14"/>
        <w:spacing w:line="400" w:lineRule="exact"/>
        <w:ind w:left="0" w:firstLine="420" w:firstLineChars="200"/>
        <w:rPr>
          <w:color w:val="auto"/>
          <w:szCs w:val="21"/>
          <w:highlight w:val="none"/>
        </w:rPr>
      </w:pPr>
      <w:r>
        <w:rPr>
          <w:color w:val="auto"/>
          <w:szCs w:val="21"/>
          <w:highlight w:val="none"/>
        </w:rPr>
        <w:t>4</w:t>
      </w:r>
      <w:r>
        <w:rPr>
          <w:rFonts w:hint="eastAsia"/>
          <w:color w:val="auto"/>
          <w:szCs w:val="21"/>
          <w:highlight w:val="none"/>
        </w:rPr>
        <w:t>1</w:t>
      </w:r>
      <w:r>
        <w:rPr>
          <w:color w:val="auto"/>
          <w:szCs w:val="21"/>
          <w:highlight w:val="none"/>
        </w:rPr>
        <w:t>.</w:t>
      </w:r>
      <w:r>
        <w:rPr>
          <w:rFonts w:hint="eastAsia"/>
          <w:color w:val="auto"/>
          <w:szCs w:val="21"/>
          <w:highlight w:val="none"/>
        </w:rPr>
        <w:t>（</w:t>
      </w:r>
      <w:r>
        <w:rPr>
          <w:color w:val="auto"/>
          <w:szCs w:val="21"/>
          <w:highlight w:val="none"/>
        </w:rPr>
        <w:t>GB 50198-2011</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《民用闭路监视电视系统工程技术规范》</w:t>
      </w:r>
      <w:r>
        <w:rPr>
          <w:color w:val="auto"/>
          <w:szCs w:val="21"/>
          <w:highlight w:val="none"/>
        </w:rPr>
        <w:t xml:space="preserve"> </w:t>
      </w:r>
    </w:p>
    <w:p w14:paraId="57842EC4">
      <w:pPr>
        <w:pStyle w:val="14"/>
        <w:spacing w:line="400" w:lineRule="exact"/>
        <w:ind w:left="0" w:firstLine="420" w:firstLineChars="200"/>
        <w:rPr>
          <w:color w:val="auto"/>
          <w:szCs w:val="21"/>
          <w:highlight w:val="none"/>
        </w:rPr>
      </w:pPr>
      <w:r>
        <w:rPr>
          <w:color w:val="auto"/>
          <w:szCs w:val="21"/>
          <w:highlight w:val="none"/>
        </w:rPr>
        <w:t>4</w:t>
      </w:r>
      <w:r>
        <w:rPr>
          <w:rFonts w:hint="eastAsia"/>
          <w:color w:val="auto"/>
          <w:szCs w:val="21"/>
          <w:highlight w:val="none"/>
        </w:rPr>
        <w:t>2</w:t>
      </w:r>
      <w:r>
        <w:rPr>
          <w:color w:val="auto"/>
          <w:szCs w:val="21"/>
          <w:highlight w:val="none"/>
        </w:rPr>
        <w:t>.</w:t>
      </w:r>
      <w:r>
        <w:rPr>
          <w:rFonts w:hint="eastAsia"/>
          <w:color w:val="auto"/>
          <w:szCs w:val="21"/>
          <w:highlight w:val="none"/>
        </w:rPr>
        <w:t>（</w:t>
      </w:r>
      <w:r>
        <w:rPr>
          <w:color w:val="auto"/>
          <w:szCs w:val="21"/>
          <w:highlight w:val="none"/>
        </w:rPr>
        <w:t>GB 50174-</w:t>
      </w:r>
      <w:r>
        <w:rPr>
          <w:rFonts w:hint="eastAsia"/>
          <w:color w:val="auto"/>
          <w:szCs w:val="21"/>
          <w:highlight w:val="none"/>
        </w:rPr>
        <w:t>2008）</w:t>
      </w:r>
      <w:r>
        <w:rPr>
          <w:color w:val="auto"/>
          <w:szCs w:val="21"/>
          <w:highlight w:val="none"/>
        </w:rPr>
        <w:t xml:space="preserve"> </w:t>
      </w:r>
      <w:r>
        <w:rPr>
          <w:rFonts w:hint="eastAsia"/>
          <w:color w:val="auto"/>
          <w:szCs w:val="21"/>
          <w:highlight w:val="none"/>
        </w:rPr>
        <w:t xml:space="preserve">       《电子信息系统机房设计规范》</w:t>
      </w:r>
      <w:r>
        <w:rPr>
          <w:color w:val="auto"/>
          <w:szCs w:val="21"/>
          <w:highlight w:val="none"/>
        </w:rPr>
        <w:t xml:space="preserve"> </w:t>
      </w:r>
    </w:p>
    <w:p w14:paraId="22DE5F3B">
      <w:pPr>
        <w:pStyle w:val="14"/>
        <w:spacing w:line="400" w:lineRule="exact"/>
        <w:ind w:left="0" w:firstLine="420" w:firstLineChars="200"/>
        <w:rPr>
          <w:color w:val="auto"/>
          <w:szCs w:val="21"/>
          <w:highlight w:val="none"/>
        </w:rPr>
      </w:pPr>
      <w:r>
        <w:rPr>
          <w:color w:val="auto"/>
          <w:szCs w:val="21"/>
          <w:highlight w:val="none"/>
        </w:rPr>
        <w:t>4</w:t>
      </w:r>
      <w:r>
        <w:rPr>
          <w:rFonts w:hint="eastAsia"/>
          <w:color w:val="auto"/>
          <w:szCs w:val="21"/>
          <w:highlight w:val="none"/>
        </w:rPr>
        <w:t>3</w:t>
      </w:r>
      <w:r>
        <w:rPr>
          <w:color w:val="auto"/>
          <w:szCs w:val="21"/>
          <w:highlight w:val="none"/>
        </w:rPr>
        <w:t>.</w:t>
      </w:r>
      <w:r>
        <w:rPr>
          <w:rFonts w:hint="eastAsia"/>
          <w:color w:val="auto"/>
          <w:szCs w:val="21"/>
          <w:highlight w:val="none"/>
        </w:rPr>
        <w:t>（</w:t>
      </w:r>
      <w:r>
        <w:rPr>
          <w:color w:val="auto"/>
          <w:szCs w:val="21"/>
          <w:highlight w:val="none"/>
        </w:rPr>
        <w:t>IEC60747-9</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《国际电工协会系列标准》</w:t>
      </w:r>
      <w:r>
        <w:rPr>
          <w:color w:val="auto"/>
          <w:szCs w:val="21"/>
          <w:highlight w:val="none"/>
        </w:rPr>
        <w:t xml:space="preserve"> </w:t>
      </w:r>
    </w:p>
    <w:p w14:paraId="726FDD4E">
      <w:pPr>
        <w:pStyle w:val="14"/>
        <w:spacing w:line="400" w:lineRule="exact"/>
        <w:ind w:left="0" w:firstLine="420" w:firstLineChars="200"/>
        <w:rPr>
          <w:color w:val="auto"/>
          <w:szCs w:val="21"/>
          <w:highlight w:val="none"/>
        </w:rPr>
      </w:pPr>
      <w:r>
        <w:rPr>
          <w:color w:val="auto"/>
          <w:szCs w:val="21"/>
          <w:highlight w:val="none"/>
        </w:rPr>
        <w:t>4</w:t>
      </w:r>
      <w:r>
        <w:rPr>
          <w:rFonts w:hint="eastAsia"/>
          <w:color w:val="auto"/>
          <w:szCs w:val="21"/>
          <w:highlight w:val="none"/>
        </w:rPr>
        <w:t>4</w:t>
      </w:r>
      <w:r>
        <w:rPr>
          <w:color w:val="auto"/>
          <w:szCs w:val="21"/>
          <w:highlight w:val="none"/>
        </w:rPr>
        <w:t>.</w:t>
      </w:r>
      <w:r>
        <w:rPr>
          <w:rFonts w:hint="eastAsia"/>
          <w:color w:val="auto"/>
          <w:szCs w:val="21"/>
          <w:highlight w:val="none"/>
        </w:rPr>
        <w:t>（</w:t>
      </w:r>
      <w:r>
        <w:rPr>
          <w:color w:val="auto"/>
          <w:szCs w:val="21"/>
          <w:highlight w:val="none"/>
        </w:rPr>
        <w:t>GB 50057-2010</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《建筑物防雷设计规范》</w:t>
      </w:r>
      <w:r>
        <w:rPr>
          <w:color w:val="auto"/>
          <w:szCs w:val="21"/>
          <w:highlight w:val="none"/>
        </w:rPr>
        <w:t xml:space="preserve"> </w:t>
      </w:r>
    </w:p>
    <w:p w14:paraId="19C25C98">
      <w:pPr>
        <w:pStyle w:val="14"/>
        <w:spacing w:line="400" w:lineRule="exact"/>
        <w:ind w:left="0" w:firstLine="420" w:firstLineChars="200"/>
        <w:rPr>
          <w:color w:val="auto"/>
          <w:szCs w:val="21"/>
          <w:highlight w:val="none"/>
        </w:rPr>
      </w:pPr>
      <w:r>
        <w:rPr>
          <w:rFonts w:hint="eastAsia"/>
          <w:color w:val="auto"/>
          <w:szCs w:val="21"/>
          <w:highlight w:val="none"/>
        </w:rPr>
        <w:t>45</w:t>
      </w:r>
      <w:r>
        <w:rPr>
          <w:color w:val="auto"/>
          <w:szCs w:val="21"/>
          <w:highlight w:val="none"/>
        </w:rPr>
        <w:t>.</w:t>
      </w:r>
      <w:r>
        <w:rPr>
          <w:rFonts w:hint="eastAsia"/>
          <w:color w:val="auto"/>
          <w:szCs w:val="21"/>
          <w:highlight w:val="none"/>
        </w:rPr>
        <w:t>（</w:t>
      </w:r>
      <w:r>
        <w:rPr>
          <w:color w:val="auto"/>
          <w:szCs w:val="21"/>
          <w:highlight w:val="none"/>
        </w:rPr>
        <w:t>GB 51348-2019</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《民用建筑电气设计规范》</w:t>
      </w:r>
      <w:r>
        <w:rPr>
          <w:color w:val="auto"/>
          <w:szCs w:val="21"/>
          <w:highlight w:val="none"/>
        </w:rPr>
        <w:t xml:space="preserve"> </w:t>
      </w:r>
    </w:p>
    <w:p w14:paraId="10B94D54">
      <w:pPr>
        <w:pStyle w:val="14"/>
        <w:spacing w:line="400" w:lineRule="exact"/>
        <w:ind w:left="0" w:firstLine="420" w:firstLineChars="200"/>
        <w:rPr>
          <w:color w:val="auto"/>
          <w:szCs w:val="21"/>
          <w:highlight w:val="none"/>
        </w:rPr>
      </w:pPr>
      <w:r>
        <w:rPr>
          <w:rFonts w:hint="eastAsia"/>
          <w:color w:val="auto"/>
          <w:szCs w:val="21"/>
          <w:highlight w:val="none"/>
        </w:rPr>
        <w:t>46</w:t>
      </w:r>
      <w:r>
        <w:rPr>
          <w:color w:val="auto"/>
          <w:szCs w:val="21"/>
          <w:highlight w:val="none"/>
        </w:rPr>
        <w:t>.</w:t>
      </w:r>
      <w:r>
        <w:rPr>
          <w:rFonts w:hint="eastAsia"/>
          <w:color w:val="auto"/>
          <w:szCs w:val="21"/>
          <w:highlight w:val="none"/>
        </w:rPr>
        <w:t>（</w:t>
      </w:r>
      <w:r>
        <w:rPr>
          <w:color w:val="auto"/>
          <w:szCs w:val="21"/>
          <w:highlight w:val="none"/>
        </w:rPr>
        <w:t>YD 2001-1992</w:t>
      </w:r>
      <w:r>
        <w:rPr>
          <w:rFonts w:hint="eastAsia"/>
          <w:color w:val="auto"/>
          <w:szCs w:val="21"/>
          <w:highlight w:val="none"/>
        </w:rPr>
        <w:t>）</w:t>
      </w:r>
      <w:r>
        <w:rPr>
          <w:color w:val="auto"/>
          <w:szCs w:val="21"/>
          <w:highlight w:val="none"/>
        </w:rPr>
        <w:t xml:space="preserve"> </w:t>
      </w:r>
      <w:r>
        <w:rPr>
          <w:rFonts w:hint="eastAsia"/>
          <w:color w:val="auto"/>
          <w:szCs w:val="21"/>
          <w:highlight w:val="none"/>
        </w:rPr>
        <w:t xml:space="preserve">        《市内通信全塑电缆线路工程设计规范》</w:t>
      </w:r>
      <w:r>
        <w:rPr>
          <w:color w:val="auto"/>
          <w:szCs w:val="21"/>
          <w:highlight w:val="none"/>
        </w:rPr>
        <w:t xml:space="preserve"> </w:t>
      </w:r>
    </w:p>
    <w:p w14:paraId="5E255A9D">
      <w:pPr>
        <w:pStyle w:val="14"/>
        <w:spacing w:line="400" w:lineRule="exact"/>
        <w:ind w:left="0" w:firstLine="420" w:firstLineChars="200"/>
        <w:rPr>
          <w:color w:val="auto"/>
          <w:szCs w:val="21"/>
          <w:highlight w:val="none"/>
        </w:rPr>
      </w:pPr>
      <w:r>
        <w:rPr>
          <w:rFonts w:hint="eastAsia"/>
          <w:color w:val="auto"/>
          <w:szCs w:val="21"/>
          <w:highlight w:val="none"/>
        </w:rPr>
        <w:t>47</w:t>
      </w:r>
      <w:r>
        <w:rPr>
          <w:color w:val="auto"/>
          <w:szCs w:val="21"/>
          <w:highlight w:val="none"/>
        </w:rPr>
        <w:t>.</w:t>
      </w:r>
      <w:r>
        <w:rPr>
          <w:rFonts w:hint="eastAsia"/>
          <w:color w:val="auto"/>
          <w:szCs w:val="21"/>
          <w:highlight w:val="none"/>
        </w:rPr>
        <w:t>（</w:t>
      </w:r>
      <w:r>
        <w:rPr>
          <w:color w:val="auto"/>
          <w:szCs w:val="21"/>
          <w:highlight w:val="none"/>
        </w:rPr>
        <w:t>YD</w:t>
      </w:r>
      <w:r>
        <w:rPr>
          <w:rFonts w:hint="eastAsia"/>
          <w:color w:val="auto"/>
          <w:szCs w:val="21"/>
          <w:highlight w:val="none"/>
        </w:rPr>
        <w:t xml:space="preserve"> </w:t>
      </w:r>
      <w:r>
        <w:rPr>
          <w:color w:val="auto"/>
          <w:szCs w:val="21"/>
          <w:highlight w:val="none"/>
        </w:rPr>
        <w:t>51</w:t>
      </w:r>
      <w:r>
        <w:rPr>
          <w:rFonts w:hint="eastAsia"/>
          <w:color w:val="auto"/>
          <w:szCs w:val="21"/>
          <w:highlight w:val="none"/>
        </w:rPr>
        <w:t>21</w:t>
      </w:r>
      <w:r>
        <w:rPr>
          <w:color w:val="auto"/>
          <w:szCs w:val="21"/>
          <w:highlight w:val="none"/>
        </w:rPr>
        <w:t>-20</w:t>
      </w:r>
      <w:r>
        <w:rPr>
          <w:rFonts w:hint="eastAsia"/>
          <w:color w:val="auto"/>
          <w:szCs w:val="21"/>
          <w:highlight w:val="none"/>
        </w:rPr>
        <w:t>10）</w:t>
      </w:r>
      <w:r>
        <w:rPr>
          <w:color w:val="auto"/>
          <w:szCs w:val="21"/>
          <w:highlight w:val="none"/>
        </w:rPr>
        <w:t xml:space="preserve"> </w:t>
      </w:r>
      <w:r>
        <w:rPr>
          <w:rFonts w:hint="eastAsia"/>
          <w:color w:val="auto"/>
          <w:szCs w:val="21"/>
          <w:highlight w:val="none"/>
        </w:rPr>
        <w:t xml:space="preserve">        《通信线路工程验收规范》</w:t>
      </w:r>
      <w:r>
        <w:rPr>
          <w:color w:val="auto"/>
          <w:szCs w:val="21"/>
          <w:highlight w:val="none"/>
        </w:rPr>
        <w:t xml:space="preserve"> </w:t>
      </w:r>
    </w:p>
    <w:p w14:paraId="03BC42EA">
      <w:pPr>
        <w:pStyle w:val="14"/>
        <w:spacing w:line="400" w:lineRule="exact"/>
        <w:ind w:left="0" w:firstLine="420" w:firstLineChars="200"/>
        <w:rPr>
          <w:color w:val="auto"/>
          <w:szCs w:val="21"/>
          <w:highlight w:val="none"/>
        </w:rPr>
      </w:pPr>
      <w:r>
        <w:rPr>
          <w:rFonts w:hint="eastAsia"/>
          <w:color w:val="auto"/>
          <w:szCs w:val="21"/>
          <w:highlight w:val="none"/>
        </w:rPr>
        <w:t>48</w:t>
      </w:r>
      <w:r>
        <w:rPr>
          <w:color w:val="auto"/>
          <w:szCs w:val="21"/>
          <w:highlight w:val="none"/>
        </w:rPr>
        <w:t>.（GB</w:t>
      </w:r>
      <w:r>
        <w:rPr>
          <w:rFonts w:hint="eastAsia"/>
          <w:color w:val="auto"/>
          <w:szCs w:val="21"/>
          <w:highlight w:val="none"/>
        </w:rPr>
        <w:t xml:space="preserve"> </w:t>
      </w:r>
      <w:r>
        <w:rPr>
          <w:color w:val="auto"/>
          <w:szCs w:val="21"/>
          <w:highlight w:val="none"/>
        </w:rPr>
        <w:t>50168-2018）  </w:t>
      </w:r>
      <w:r>
        <w:rPr>
          <w:rFonts w:hint="eastAsia"/>
          <w:color w:val="auto"/>
          <w:szCs w:val="21"/>
          <w:highlight w:val="none"/>
        </w:rPr>
        <w:t xml:space="preserve">    </w:t>
      </w:r>
      <w:r>
        <w:rPr>
          <w:color w:val="auto"/>
          <w:szCs w:val="21"/>
          <w:highlight w:val="none"/>
        </w:rPr>
        <w:t>《电气装置安装工程电缆线路施工及验收标准》</w:t>
      </w:r>
    </w:p>
    <w:p w14:paraId="490F298D">
      <w:pPr>
        <w:pStyle w:val="14"/>
        <w:spacing w:line="400" w:lineRule="exact"/>
        <w:ind w:left="0" w:firstLine="420" w:firstLineChars="200"/>
        <w:rPr>
          <w:color w:val="auto"/>
          <w:szCs w:val="21"/>
          <w:highlight w:val="none"/>
        </w:rPr>
      </w:pPr>
      <w:r>
        <w:rPr>
          <w:rFonts w:hint="eastAsia"/>
          <w:color w:val="auto"/>
          <w:szCs w:val="21"/>
          <w:highlight w:val="none"/>
        </w:rPr>
        <w:t>49.</w:t>
      </w:r>
      <w:r>
        <w:rPr>
          <w:color w:val="auto"/>
          <w:szCs w:val="21"/>
          <w:highlight w:val="none"/>
        </w:rPr>
        <w:t>（JTG/T C10-2007）</w:t>
      </w:r>
      <w:r>
        <w:rPr>
          <w:rFonts w:hint="eastAsia"/>
          <w:color w:val="auto"/>
          <w:szCs w:val="21"/>
          <w:highlight w:val="none"/>
        </w:rPr>
        <w:t xml:space="preserve">       </w:t>
      </w:r>
      <w:r>
        <w:rPr>
          <w:color w:val="auto"/>
          <w:szCs w:val="21"/>
          <w:highlight w:val="none"/>
        </w:rPr>
        <w:t>《公路勘测细则》</w:t>
      </w:r>
    </w:p>
    <w:p w14:paraId="3AF9E7EB">
      <w:pPr>
        <w:pStyle w:val="14"/>
        <w:spacing w:line="400" w:lineRule="exact"/>
        <w:ind w:left="0" w:firstLine="420" w:firstLineChars="200"/>
        <w:rPr>
          <w:color w:val="auto"/>
          <w:szCs w:val="21"/>
          <w:highlight w:val="none"/>
        </w:rPr>
      </w:pPr>
      <w:r>
        <w:rPr>
          <w:rFonts w:hint="eastAsia"/>
          <w:color w:val="auto"/>
          <w:szCs w:val="21"/>
          <w:highlight w:val="none"/>
        </w:rPr>
        <w:t>50.（</w:t>
      </w:r>
      <w:r>
        <w:rPr>
          <w:color w:val="auto"/>
          <w:szCs w:val="21"/>
          <w:highlight w:val="none"/>
        </w:rPr>
        <w:t>GB/T 20257.1-2007</w:t>
      </w:r>
      <w:r>
        <w:rPr>
          <w:rFonts w:hint="eastAsia"/>
          <w:color w:val="auto"/>
          <w:szCs w:val="21"/>
          <w:highlight w:val="none"/>
        </w:rPr>
        <w:t xml:space="preserve">）    </w:t>
      </w:r>
      <w:r>
        <w:rPr>
          <w:color w:val="auto"/>
          <w:szCs w:val="21"/>
          <w:highlight w:val="none"/>
        </w:rPr>
        <w:t>《1：500 1：1000 1：2000 地形图图式》</w:t>
      </w:r>
    </w:p>
    <w:p w14:paraId="1C02088F">
      <w:pPr>
        <w:pStyle w:val="14"/>
        <w:spacing w:line="400" w:lineRule="exact"/>
        <w:ind w:left="0" w:firstLine="420" w:firstLineChars="200"/>
        <w:rPr>
          <w:color w:val="auto"/>
          <w:szCs w:val="21"/>
          <w:highlight w:val="none"/>
        </w:rPr>
      </w:pPr>
      <w:r>
        <w:rPr>
          <w:rFonts w:hint="eastAsia"/>
          <w:color w:val="auto"/>
          <w:szCs w:val="21"/>
          <w:highlight w:val="none"/>
        </w:rPr>
        <w:t>51.（</w:t>
      </w:r>
      <w:r>
        <w:rPr>
          <w:color w:val="auto"/>
          <w:szCs w:val="21"/>
          <w:highlight w:val="none"/>
        </w:rPr>
        <w:t>GB/T 13923-2006</w:t>
      </w:r>
      <w:r>
        <w:rPr>
          <w:rFonts w:hint="eastAsia"/>
          <w:color w:val="auto"/>
          <w:szCs w:val="21"/>
          <w:highlight w:val="none"/>
        </w:rPr>
        <w:t xml:space="preserve">）      </w:t>
      </w:r>
      <w:r>
        <w:rPr>
          <w:color w:val="auto"/>
          <w:szCs w:val="21"/>
          <w:highlight w:val="none"/>
        </w:rPr>
        <w:t>《基础地理信息要素分类与代码》</w:t>
      </w:r>
    </w:p>
    <w:p w14:paraId="2A8C4ECA">
      <w:pPr>
        <w:pStyle w:val="14"/>
        <w:spacing w:line="400" w:lineRule="exact"/>
        <w:ind w:left="0" w:firstLine="420" w:firstLineChars="200"/>
        <w:rPr>
          <w:color w:val="auto"/>
          <w:szCs w:val="21"/>
          <w:highlight w:val="none"/>
        </w:rPr>
      </w:pPr>
      <w:r>
        <w:rPr>
          <w:rFonts w:hint="eastAsia"/>
          <w:color w:val="auto"/>
          <w:szCs w:val="21"/>
          <w:highlight w:val="none"/>
        </w:rPr>
        <w:t>52.（</w:t>
      </w:r>
      <w:r>
        <w:rPr>
          <w:color w:val="auto"/>
          <w:szCs w:val="21"/>
          <w:highlight w:val="none"/>
        </w:rPr>
        <w:t>CH 1003-95</w:t>
      </w:r>
      <w:r>
        <w:rPr>
          <w:rFonts w:hint="eastAsia"/>
          <w:color w:val="auto"/>
          <w:szCs w:val="21"/>
          <w:highlight w:val="none"/>
        </w:rPr>
        <w:t xml:space="preserve">）           </w:t>
      </w:r>
      <w:r>
        <w:rPr>
          <w:color w:val="auto"/>
          <w:szCs w:val="21"/>
          <w:highlight w:val="none"/>
        </w:rPr>
        <w:t>《测绘产品质量评定标准》</w:t>
      </w:r>
    </w:p>
    <w:p w14:paraId="706528B3">
      <w:pPr>
        <w:pStyle w:val="14"/>
        <w:spacing w:line="400" w:lineRule="exact"/>
        <w:ind w:left="0" w:firstLine="420" w:firstLineChars="200"/>
        <w:rPr>
          <w:color w:val="auto"/>
          <w:szCs w:val="21"/>
          <w:highlight w:val="none"/>
        </w:rPr>
      </w:pPr>
      <w:r>
        <w:rPr>
          <w:rFonts w:hint="eastAsia"/>
          <w:color w:val="auto"/>
          <w:szCs w:val="21"/>
          <w:highlight w:val="none"/>
        </w:rPr>
        <w:t>53.</w:t>
      </w:r>
      <w:r>
        <w:rPr>
          <w:color w:val="auto"/>
          <w:szCs w:val="21"/>
          <w:highlight w:val="none"/>
        </w:rPr>
        <w:t>（CH 1002-95）</w:t>
      </w:r>
      <w:r>
        <w:rPr>
          <w:rFonts w:hint="eastAsia"/>
          <w:color w:val="auto"/>
          <w:szCs w:val="21"/>
          <w:highlight w:val="none"/>
        </w:rPr>
        <w:t xml:space="preserve">           </w:t>
      </w:r>
      <w:r>
        <w:rPr>
          <w:color w:val="auto"/>
          <w:szCs w:val="21"/>
          <w:highlight w:val="none"/>
        </w:rPr>
        <w:t>《测绘产品检查验收规定》</w:t>
      </w:r>
    </w:p>
    <w:p w14:paraId="0F1E0CAE">
      <w:pPr>
        <w:pStyle w:val="14"/>
        <w:spacing w:line="400" w:lineRule="exact"/>
        <w:ind w:left="0" w:firstLine="420" w:firstLineChars="200"/>
        <w:rPr>
          <w:color w:val="auto"/>
          <w:szCs w:val="21"/>
          <w:highlight w:val="none"/>
        </w:rPr>
      </w:pPr>
      <w:r>
        <w:rPr>
          <w:rFonts w:hint="eastAsia"/>
          <w:color w:val="auto"/>
          <w:szCs w:val="21"/>
          <w:highlight w:val="none"/>
        </w:rPr>
        <w:t>54.</w:t>
      </w:r>
      <w:r>
        <w:rPr>
          <w:color w:val="auto"/>
          <w:szCs w:val="21"/>
          <w:highlight w:val="none"/>
        </w:rPr>
        <w:t>（GB/T 18316-2008）</w:t>
      </w:r>
      <w:r>
        <w:rPr>
          <w:rFonts w:hint="eastAsia"/>
          <w:color w:val="auto"/>
          <w:szCs w:val="21"/>
          <w:highlight w:val="none"/>
        </w:rPr>
        <w:t xml:space="preserve">      </w:t>
      </w:r>
      <w:r>
        <w:rPr>
          <w:color w:val="auto"/>
          <w:szCs w:val="21"/>
          <w:highlight w:val="none"/>
        </w:rPr>
        <w:t>《数字测绘成果质量检查与验收》</w:t>
      </w:r>
    </w:p>
    <w:p w14:paraId="4FCB05A6">
      <w:pPr>
        <w:pStyle w:val="14"/>
        <w:spacing w:line="400" w:lineRule="exact"/>
        <w:ind w:left="0" w:firstLine="420" w:firstLineChars="200"/>
        <w:rPr>
          <w:color w:val="auto"/>
          <w:szCs w:val="21"/>
          <w:highlight w:val="none"/>
        </w:rPr>
      </w:pPr>
      <w:r>
        <w:rPr>
          <w:rFonts w:hint="eastAsia"/>
          <w:color w:val="auto"/>
          <w:szCs w:val="21"/>
          <w:highlight w:val="none"/>
        </w:rPr>
        <w:t>55.（GB 55014-2021）        《园林绿化工程项目规范》，</w:t>
      </w:r>
    </w:p>
    <w:p w14:paraId="3EFF3CE5">
      <w:pPr>
        <w:pStyle w:val="14"/>
        <w:spacing w:line="400" w:lineRule="exact"/>
        <w:ind w:left="0" w:firstLine="420" w:firstLineChars="200"/>
        <w:rPr>
          <w:color w:val="auto"/>
          <w:szCs w:val="21"/>
          <w:highlight w:val="none"/>
        </w:rPr>
      </w:pPr>
      <w:r>
        <w:rPr>
          <w:rFonts w:hint="eastAsia"/>
          <w:color w:val="auto"/>
          <w:szCs w:val="21"/>
          <w:highlight w:val="none"/>
        </w:rPr>
        <w:t>56.（CJJ/T 75-2023）         《城市道路绿化设计标准》，</w:t>
      </w:r>
    </w:p>
    <w:p w14:paraId="4DD90F5F">
      <w:pPr>
        <w:pStyle w:val="14"/>
        <w:spacing w:line="400" w:lineRule="exact"/>
        <w:ind w:left="0" w:firstLine="420" w:firstLineChars="200"/>
        <w:rPr>
          <w:color w:val="auto"/>
          <w:szCs w:val="21"/>
          <w:highlight w:val="none"/>
        </w:rPr>
      </w:pPr>
      <w:r>
        <w:rPr>
          <w:rFonts w:hint="eastAsia"/>
          <w:color w:val="auto"/>
          <w:szCs w:val="21"/>
          <w:highlight w:val="none"/>
        </w:rPr>
        <w:t>57.（JTG/T 2312—2026）     《公路绿化技术规范》，</w:t>
      </w:r>
    </w:p>
    <w:p w14:paraId="07E5C785">
      <w:pPr>
        <w:pStyle w:val="14"/>
        <w:spacing w:line="400" w:lineRule="exact"/>
        <w:ind w:left="0" w:firstLine="420" w:firstLineChars="200"/>
        <w:rPr>
          <w:color w:val="auto"/>
          <w:szCs w:val="21"/>
          <w:highlight w:val="none"/>
        </w:rPr>
      </w:pPr>
      <w:r>
        <w:rPr>
          <w:rFonts w:hint="eastAsia"/>
          <w:color w:val="auto"/>
          <w:szCs w:val="21"/>
          <w:highlight w:val="none"/>
        </w:rPr>
        <w:t>上述规范文件，若有更新，按最新规定执行。</w:t>
      </w:r>
    </w:p>
    <w:p w14:paraId="14A5DA54">
      <w:pPr>
        <w:pStyle w:val="14"/>
        <w:spacing w:line="400" w:lineRule="exact"/>
        <w:ind w:left="0" w:firstLine="0"/>
        <w:jc w:val="left"/>
        <w:rPr>
          <w:rFonts w:ascii="黑体" w:hAnsi="黑体" w:eastAsia="黑体"/>
          <w:color w:val="auto"/>
          <w:szCs w:val="21"/>
          <w:highlight w:val="none"/>
        </w:rPr>
      </w:pPr>
      <w:r>
        <w:rPr>
          <w:rFonts w:hint="eastAsia" w:ascii="黑体" w:hAnsi="黑体" w:eastAsia="黑体"/>
          <w:color w:val="auto"/>
          <w:szCs w:val="21"/>
          <w:highlight w:val="none"/>
        </w:rPr>
        <w:t>三、发包人根据工程需要另行补充的设计技术要求</w:t>
      </w:r>
    </w:p>
    <w:p w14:paraId="468ECE7E">
      <w:pPr>
        <w:pStyle w:val="14"/>
        <w:spacing w:line="400" w:lineRule="exact"/>
        <w:ind w:left="0" w:firstLine="420" w:firstLineChars="200"/>
        <w:rPr>
          <w:color w:val="auto"/>
          <w:szCs w:val="21"/>
          <w:highlight w:val="none"/>
        </w:rPr>
      </w:pPr>
      <w:r>
        <w:rPr>
          <w:rFonts w:hint="eastAsia"/>
          <w:color w:val="auto"/>
          <w:szCs w:val="21"/>
          <w:highlight w:val="none"/>
        </w:rPr>
        <w:t>在公路工程标准设计发包文件（2018年版）第五章发包人要求中“适用规范标准”的基础上，补充以下设计应遵循的技术标准与规范。</w:t>
      </w:r>
    </w:p>
    <w:p w14:paraId="15C36D57">
      <w:pPr>
        <w:pStyle w:val="14"/>
        <w:spacing w:line="400" w:lineRule="exact"/>
        <w:ind w:left="0" w:firstLine="420" w:firstLineChars="200"/>
        <w:rPr>
          <w:color w:val="auto"/>
          <w:szCs w:val="21"/>
          <w:highlight w:val="none"/>
        </w:rPr>
      </w:pPr>
      <w:r>
        <w:rPr>
          <w:rFonts w:hint="eastAsia"/>
          <w:color w:val="auto"/>
          <w:szCs w:val="21"/>
          <w:highlight w:val="none"/>
        </w:rPr>
        <w:t>1.《高速公路改扩建设计细则》（JTG/T L11-2014）</w:t>
      </w:r>
    </w:p>
    <w:p w14:paraId="7CAE01A9">
      <w:pPr>
        <w:pStyle w:val="14"/>
        <w:spacing w:line="400" w:lineRule="exact"/>
        <w:ind w:left="0" w:firstLine="420" w:firstLineChars="200"/>
        <w:rPr>
          <w:color w:val="auto"/>
          <w:szCs w:val="21"/>
          <w:highlight w:val="none"/>
        </w:rPr>
      </w:pPr>
      <w:r>
        <w:rPr>
          <w:rFonts w:hint="eastAsia"/>
          <w:color w:val="auto"/>
          <w:szCs w:val="21"/>
          <w:highlight w:val="none"/>
        </w:rPr>
        <w:t>2.《公路工程节能规范》（JTG/T2340-2020）</w:t>
      </w:r>
    </w:p>
    <w:p w14:paraId="6CFCF3C0">
      <w:pPr>
        <w:pStyle w:val="14"/>
        <w:spacing w:line="400" w:lineRule="exact"/>
        <w:ind w:left="0" w:firstLine="420" w:firstLineChars="200"/>
        <w:rPr>
          <w:color w:val="auto"/>
          <w:szCs w:val="21"/>
          <w:highlight w:val="none"/>
        </w:rPr>
      </w:pPr>
      <w:r>
        <w:rPr>
          <w:rFonts w:hint="eastAsia"/>
          <w:color w:val="auto"/>
          <w:szCs w:val="21"/>
          <w:highlight w:val="none"/>
        </w:rPr>
        <w:t>3.《公路工程抗震规范》（JTG B02-2013）</w:t>
      </w:r>
    </w:p>
    <w:p w14:paraId="01F20112">
      <w:pPr>
        <w:pStyle w:val="14"/>
        <w:spacing w:line="400" w:lineRule="exact"/>
        <w:ind w:left="0" w:firstLine="420" w:firstLineChars="200"/>
        <w:rPr>
          <w:color w:val="auto"/>
          <w:szCs w:val="21"/>
          <w:highlight w:val="none"/>
        </w:rPr>
      </w:pPr>
      <w:r>
        <w:rPr>
          <w:rFonts w:hint="eastAsia"/>
          <w:color w:val="auto"/>
          <w:szCs w:val="21"/>
          <w:highlight w:val="none"/>
        </w:rPr>
        <w:t>4.《公路工程岩石试验规程》（JTG E41-2005）</w:t>
      </w:r>
    </w:p>
    <w:p w14:paraId="7DE3262A">
      <w:pPr>
        <w:pStyle w:val="14"/>
        <w:spacing w:line="400" w:lineRule="exact"/>
        <w:ind w:left="0" w:firstLine="420" w:firstLineChars="200"/>
        <w:rPr>
          <w:color w:val="auto"/>
          <w:szCs w:val="21"/>
          <w:highlight w:val="none"/>
        </w:rPr>
      </w:pPr>
      <w:r>
        <w:rPr>
          <w:rFonts w:hint="eastAsia"/>
          <w:color w:val="auto"/>
          <w:szCs w:val="21"/>
          <w:highlight w:val="none"/>
        </w:rPr>
        <w:t>5.《公路工程物探规程》（JTG/T 3222-2020）</w:t>
      </w:r>
    </w:p>
    <w:p w14:paraId="381D64F4">
      <w:pPr>
        <w:pStyle w:val="14"/>
        <w:spacing w:line="400" w:lineRule="exact"/>
        <w:ind w:left="0" w:firstLine="420" w:firstLineChars="200"/>
        <w:rPr>
          <w:color w:val="auto"/>
          <w:szCs w:val="21"/>
          <w:highlight w:val="none"/>
        </w:rPr>
      </w:pPr>
      <w:r>
        <w:rPr>
          <w:rFonts w:hint="eastAsia"/>
          <w:color w:val="auto"/>
          <w:szCs w:val="21"/>
          <w:highlight w:val="none"/>
        </w:rPr>
        <w:t>6.《岩土工程勘察规范》（GB50021－2001）</w:t>
      </w:r>
    </w:p>
    <w:p w14:paraId="4E0D7A71">
      <w:pPr>
        <w:pStyle w:val="14"/>
        <w:spacing w:line="400" w:lineRule="exact"/>
        <w:ind w:left="0" w:firstLine="420" w:firstLineChars="200"/>
        <w:rPr>
          <w:color w:val="auto"/>
          <w:szCs w:val="21"/>
          <w:highlight w:val="none"/>
        </w:rPr>
      </w:pPr>
      <w:r>
        <w:rPr>
          <w:rFonts w:hint="eastAsia"/>
          <w:color w:val="auto"/>
          <w:szCs w:val="21"/>
          <w:highlight w:val="none"/>
        </w:rPr>
        <w:t>7.《岩土工程勘察报告编制标准》（CECS 99-1998）</w:t>
      </w:r>
    </w:p>
    <w:p w14:paraId="1ED5BAB6">
      <w:pPr>
        <w:pStyle w:val="14"/>
        <w:spacing w:line="400" w:lineRule="exact"/>
        <w:ind w:left="0" w:firstLine="420" w:firstLineChars="200"/>
        <w:rPr>
          <w:color w:val="auto"/>
          <w:szCs w:val="21"/>
          <w:highlight w:val="none"/>
        </w:rPr>
      </w:pPr>
      <w:r>
        <w:rPr>
          <w:rFonts w:hint="eastAsia"/>
          <w:color w:val="auto"/>
          <w:szCs w:val="21"/>
          <w:highlight w:val="none"/>
        </w:rPr>
        <w:t>8.《通信管道工程施工及验收规范》（GB/T 50374-2018）</w:t>
      </w:r>
    </w:p>
    <w:p w14:paraId="6CD5E427">
      <w:pPr>
        <w:pStyle w:val="14"/>
        <w:spacing w:line="400" w:lineRule="exact"/>
        <w:ind w:left="0" w:firstLine="420" w:firstLineChars="200"/>
        <w:rPr>
          <w:color w:val="auto"/>
          <w:szCs w:val="21"/>
          <w:highlight w:val="none"/>
        </w:rPr>
      </w:pPr>
      <w:r>
        <w:rPr>
          <w:rFonts w:hint="eastAsia"/>
          <w:color w:val="auto"/>
          <w:szCs w:val="21"/>
          <w:highlight w:val="none"/>
        </w:rPr>
        <w:t>9.《公路工程质量检验评定标准（土建工程）》（JTG F80/1-2017）</w:t>
      </w:r>
    </w:p>
    <w:p w14:paraId="612E5C7B">
      <w:pPr>
        <w:pStyle w:val="14"/>
        <w:spacing w:line="400" w:lineRule="exact"/>
        <w:ind w:left="0" w:firstLine="420" w:firstLineChars="200"/>
        <w:rPr>
          <w:color w:val="auto"/>
          <w:szCs w:val="21"/>
          <w:highlight w:val="none"/>
        </w:rPr>
      </w:pPr>
      <w:r>
        <w:rPr>
          <w:rFonts w:hint="eastAsia"/>
          <w:color w:val="auto"/>
          <w:szCs w:val="21"/>
          <w:highlight w:val="none"/>
        </w:rPr>
        <w:t>10.《高速公路交通工程及沿线设施设计通用规范》（JTG D80-2006）</w:t>
      </w:r>
    </w:p>
    <w:p w14:paraId="59616223">
      <w:pPr>
        <w:pStyle w:val="14"/>
        <w:spacing w:line="400" w:lineRule="exact"/>
        <w:ind w:left="0" w:firstLine="420" w:firstLineChars="200"/>
        <w:rPr>
          <w:color w:val="auto"/>
          <w:szCs w:val="21"/>
          <w:highlight w:val="none"/>
        </w:rPr>
      </w:pPr>
      <w:r>
        <w:rPr>
          <w:rFonts w:hint="eastAsia"/>
          <w:color w:val="auto"/>
          <w:szCs w:val="21"/>
          <w:highlight w:val="none"/>
        </w:rPr>
        <w:t>11.《公路软土地基路堤设计与施工技术细则》（JTG/T D31-02-2013）</w:t>
      </w:r>
    </w:p>
    <w:p w14:paraId="259B2200">
      <w:pPr>
        <w:pStyle w:val="14"/>
        <w:spacing w:line="400" w:lineRule="exact"/>
        <w:ind w:left="0" w:firstLine="420" w:firstLineChars="200"/>
        <w:rPr>
          <w:color w:val="auto"/>
          <w:szCs w:val="21"/>
          <w:highlight w:val="none"/>
        </w:rPr>
      </w:pPr>
      <w:r>
        <w:rPr>
          <w:rFonts w:hint="eastAsia"/>
          <w:color w:val="auto"/>
          <w:szCs w:val="21"/>
          <w:highlight w:val="none"/>
        </w:rPr>
        <w:t>12.《公路滑坡防治设计规范》（JTG/T 3334-2018）</w:t>
      </w:r>
    </w:p>
    <w:p w14:paraId="7FA7ED1C">
      <w:pPr>
        <w:pStyle w:val="14"/>
        <w:spacing w:line="400" w:lineRule="exact"/>
        <w:ind w:left="0" w:firstLine="420" w:firstLineChars="200"/>
        <w:rPr>
          <w:color w:val="auto"/>
          <w:szCs w:val="21"/>
          <w:highlight w:val="none"/>
        </w:rPr>
      </w:pPr>
      <w:r>
        <w:rPr>
          <w:rFonts w:hint="eastAsia"/>
          <w:color w:val="auto"/>
          <w:szCs w:val="21"/>
          <w:highlight w:val="none"/>
        </w:rPr>
        <w:t>13.《公路工程特殊结构桥梁项目设计文件编制办法》（交公路发[2015]69 号）</w:t>
      </w:r>
    </w:p>
    <w:p w14:paraId="1EC85FEB">
      <w:pPr>
        <w:pStyle w:val="14"/>
        <w:spacing w:line="400" w:lineRule="exact"/>
        <w:ind w:left="0" w:firstLine="420" w:firstLineChars="200"/>
        <w:rPr>
          <w:color w:val="auto"/>
          <w:szCs w:val="21"/>
          <w:highlight w:val="none"/>
        </w:rPr>
      </w:pPr>
      <w:r>
        <w:rPr>
          <w:rFonts w:hint="eastAsia"/>
          <w:color w:val="auto"/>
          <w:szCs w:val="21"/>
          <w:highlight w:val="none"/>
        </w:rPr>
        <w:t>14.《公路钢混组合桥梁设计与施工规范》（JTG/T D64-01-2015）</w:t>
      </w:r>
    </w:p>
    <w:p w14:paraId="191F2CE4">
      <w:pPr>
        <w:pStyle w:val="14"/>
        <w:spacing w:line="400" w:lineRule="exact"/>
        <w:ind w:left="0" w:firstLine="420" w:firstLineChars="200"/>
        <w:rPr>
          <w:color w:val="auto"/>
          <w:szCs w:val="21"/>
          <w:highlight w:val="none"/>
        </w:rPr>
      </w:pPr>
      <w:r>
        <w:rPr>
          <w:rFonts w:hint="eastAsia"/>
          <w:color w:val="auto"/>
          <w:szCs w:val="21"/>
          <w:highlight w:val="none"/>
        </w:rPr>
        <w:t>15.《钢结构设计标准》（GB 50017-2017)</w:t>
      </w:r>
    </w:p>
    <w:p w14:paraId="78DBEB4D">
      <w:pPr>
        <w:pStyle w:val="14"/>
        <w:spacing w:line="400" w:lineRule="exact"/>
        <w:ind w:left="0" w:firstLine="420" w:firstLineChars="200"/>
        <w:rPr>
          <w:color w:val="auto"/>
          <w:szCs w:val="21"/>
          <w:highlight w:val="none"/>
        </w:rPr>
      </w:pPr>
      <w:r>
        <w:rPr>
          <w:rFonts w:hint="eastAsia"/>
          <w:color w:val="auto"/>
          <w:szCs w:val="21"/>
          <w:highlight w:val="none"/>
        </w:rPr>
        <w:t>16.《公路桥梁抗风设计规范》（JTG/T 3360-01-2018）</w:t>
      </w:r>
    </w:p>
    <w:p w14:paraId="179A546E">
      <w:pPr>
        <w:pStyle w:val="14"/>
        <w:spacing w:line="400" w:lineRule="exact"/>
        <w:ind w:left="0" w:firstLine="420" w:firstLineChars="200"/>
        <w:rPr>
          <w:color w:val="auto"/>
          <w:szCs w:val="21"/>
          <w:highlight w:val="none"/>
        </w:rPr>
      </w:pPr>
      <w:r>
        <w:rPr>
          <w:rFonts w:hint="eastAsia"/>
          <w:color w:val="auto"/>
          <w:szCs w:val="21"/>
          <w:highlight w:val="none"/>
        </w:rPr>
        <w:t>17.《公路桥梁景观设计规范》（JTG/T 3360-03-2018）</w:t>
      </w:r>
    </w:p>
    <w:p w14:paraId="07BD1F07">
      <w:pPr>
        <w:pStyle w:val="14"/>
        <w:spacing w:line="400" w:lineRule="exact"/>
        <w:ind w:left="0" w:firstLine="420" w:firstLineChars="200"/>
        <w:rPr>
          <w:color w:val="auto"/>
          <w:szCs w:val="21"/>
          <w:highlight w:val="none"/>
        </w:rPr>
      </w:pPr>
      <w:r>
        <w:rPr>
          <w:rFonts w:hint="eastAsia"/>
          <w:color w:val="auto"/>
          <w:szCs w:val="21"/>
          <w:highlight w:val="none"/>
        </w:rPr>
        <w:t>18.《公路桥涵施工技术规范》（JTG/T 3650-2020）</w:t>
      </w:r>
    </w:p>
    <w:p w14:paraId="68F3A7DD">
      <w:pPr>
        <w:pStyle w:val="14"/>
        <w:spacing w:line="400" w:lineRule="exact"/>
        <w:ind w:left="0" w:firstLine="420" w:firstLineChars="200"/>
        <w:rPr>
          <w:color w:val="auto"/>
          <w:szCs w:val="21"/>
          <w:highlight w:val="none"/>
        </w:rPr>
      </w:pPr>
      <w:r>
        <w:rPr>
          <w:rFonts w:hint="eastAsia"/>
          <w:color w:val="auto"/>
          <w:szCs w:val="21"/>
          <w:highlight w:val="none"/>
        </w:rPr>
        <w:t>19.《公路钢桥面铺装设计与施工技术规范》（JTG/T 3364-02-2019）</w:t>
      </w:r>
    </w:p>
    <w:p w14:paraId="387C30B6">
      <w:pPr>
        <w:pStyle w:val="14"/>
        <w:spacing w:line="400" w:lineRule="exact"/>
        <w:ind w:left="0" w:firstLine="420" w:firstLineChars="200"/>
        <w:rPr>
          <w:color w:val="auto"/>
          <w:szCs w:val="21"/>
          <w:highlight w:val="none"/>
        </w:rPr>
      </w:pPr>
      <w:r>
        <w:rPr>
          <w:rFonts w:hint="eastAsia"/>
          <w:color w:val="auto"/>
          <w:szCs w:val="21"/>
          <w:highlight w:val="none"/>
        </w:rPr>
        <w:t>20.《公路钢混组合桥梁设计与施工规范》（JTGT D64-01-2015）</w:t>
      </w:r>
    </w:p>
    <w:p w14:paraId="32379142">
      <w:pPr>
        <w:pStyle w:val="14"/>
        <w:spacing w:line="400" w:lineRule="exact"/>
        <w:ind w:left="0" w:firstLine="420" w:firstLineChars="200"/>
        <w:rPr>
          <w:color w:val="auto"/>
          <w:szCs w:val="21"/>
          <w:highlight w:val="none"/>
        </w:rPr>
      </w:pPr>
      <w:r>
        <w:rPr>
          <w:rFonts w:hint="eastAsia"/>
          <w:color w:val="auto"/>
          <w:szCs w:val="21"/>
          <w:highlight w:val="none"/>
        </w:rPr>
        <w:t>21.《预应力混凝土桥梁预制节段逐跨拼装施工技术规程》（CJJ/T 111-2006）</w:t>
      </w:r>
    </w:p>
    <w:p w14:paraId="7E1A1B45">
      <w:pPr>
        <w:pStyle w:val="14"/>
        <w:spacing w:line="400" w:lineRule="exact"/>
        <w:ind w:left="0" w:firstLine="420" w:firstLineChars="200"/>
        <w:rPr>
          <w:color w:val="auto"/>
          <w:szCs w:val="21"/>
          <w:highlight w:val="none"/>
        </w:rPr>
      </w:pPr>
      <w:r>
        <w:rPr>
          <w:rFonts w:hint="eastAsia"/>
          <w:color w:val="auto"/>
          <w:szCs w:val="21"/>
          <w:highlight w:val="none"/>
        </w:rPr>
        <w:t>22.《钢筋机械连接技术规程》（JGJ 107-2016）</w:t>
      </w:r>
    </w:p>
    <w:p w14:paraId="44F36C71">
      <w:pPr>
        <w:pStyle w:val="14"/>
        <w:spacing w:line="400" w:lineRule="exact"/>
        <w:ind w:left="0" w:firstLine="420" w:firstLineChars="200"/>
        <w:rPr>
          <w:color w:val="auto"/>
          <w:szCs w:val="21"/>
          <w:highlight w:val="none"/>
        </w:rPr>
      </w:pPr>
      <w:r>
        <w:rPr>
          <w:rFonts w:hint="eastAsia"/>
          <w:color w:val="auto"/>
          <w:szCs w:val="21"/>
          <w:highlight w:val="none"/>
        </w:rPr>
        <w:t>23.《锌-5%铝-混合稀土合金镀层钢丝、钢绞线》（GB/T 20492-2019）</w:t>
      </w:r>
    </w:p>
    <w:p w14:paraId="219E4FF6">
      <w:pPr>
        <w:pStyle w:val="14"/>
        <w:spacing w:line="400" w:lineRule="exact"/>
        <w:ind w:left="0" w:firstLine="420" w:firstLineChars="200"/>
        <w:rPr>
          <w:color w:val="auto"/>
          <w:szCs w:val="21"/>
          <w:highlight w:val="none"/>
        </w:rPr>
      </w:pPr>
      <w:r>
        <w:rPr>
          <w:rFonts w:hint="eastAsia"/>
          <w:color w:val="auto"/>
          <w:szCs w:val="21"/>
          <w:highlight w:val="none"/>
        </w:rPr>
        <w:t>24.《锌铝合金镀层钢丝缆索》（GB/T 32963-2016）</w:t>
      </w:r>
    </w:p>
    <w:p w14:paraId="6A535D51">
      <w:pPr>
        <w:pStyle w:val="14"/>
        <w:spacing w:line="400" w:lineRule="exact"/>
        <w:ind w:left="0" w:firstLine="420" w:firstLineChars="200"/>
        <w:rPr>
          <w:color w:val="auto"/>
          <w:szCs w:val="21"/>
          <w:highlight w:val="none"/>
        </w:rPr>
      </w:pPr>
      <w:r>
        <w:rPr>
          <w:rFonts w:hint="eastAsia"/>
          <w:color w:val="auto"/>
          <w:szCs w:val="21"/>
          <w:highlight w:val="none"/>
        </w:rPr>
        <w:t>25.《耐候结构钢》（GB/T 4171-2008）</w:t>
      </w:r>
    </w:p>
    <w:p w14:paraId="671899B5">
      <w:pPr>
        <w:pStyle w:val="14"/>
        <w:spacing w:line="400" w:lineRule="exact"/>
        <w:ind w:left="0" w:firstLine="420" w:firstLineChars="200"/>
        <w:rPr>
          <w:color w:val="auto"/>
          <w:szCs w:val="21"/>
          <w:highlight w:val="none"/>
        </w:rPr>
      </w:pPr>
      <w:r>
        <w:rPr>
          <w:rFonts w:hint="eastAsia"/>
          <w:color w:val="auto"/>
          <w:szCs w:val="21"/>
          <w:highlight w:val="none"/>
        </w:rPr>
        <w:t>26.《公路桥梁钢结构防腐涂装技术条件》（JT/T 722-2008）</w:t>
      </w:r>
    </w:p>
    <w:p w14:paraId="5DAE6F80">
      <w:pPr>
        <w:pStyle w:val="14"/>
        <w:spacing w:line="400" w:lineRule="exact"/>
        <w:ind w:left="0" w:firstLine="420" w:firstLineChars="200"/>
        <w:rPr>
          <w:color w:val="auto"/>
          <w:szCs w:val="21"/>
          <w:highlight w:val="none"/>
        </w:rPr>
      </w:pPr>
      <w:r>
        <w:rPr>
          <w:rFonts w:hint="eastAsia"/>
          <w:color w:val="auto"/>
          <w:szCs w:val="21"/>
          <w:highlight w:val="none"/>
        </w:rPr>
        <w:t>27.《低压配电设计规范》（GB 50054-2011）</w:t>
      </w:r>
    </w:p>
    <w:p w14:paraId="2E5E98D8">
      <w:pPr>
        <w:pStyle w:val="14"/>
        <w:spacing w:line="400" w:lineRule="exact"/>
        <w:ind w:left="0" w:firstLine="420" w:firstLineChars="200"/>
        <w:rPr>
          <w:color w:val="auto"/>
          <w:szCs w:val="21"/>
          <w:highlight w:val="none"/>
        </w:rPr>
      </w:pPr>
      <w:r>
        <w:rPr>
          <w:rFonts w:hint="eastAsia"/>
          <w:color w:val="auto"/>
          <w:szCs w:val="21"/>
          <w:highlight w:val="none"/>
        </w:rPr>
        <w:t>28.《供配电系统设计规范》（GB 50052-2009）</w:t>
      </w:r>
    </w:p>
    <w:p w14:paraId="4CD306F1">
      <w:pPr>
        <w:pStyle w:val="14"/>
        <w:spacing w:line="400" w:lineRule="exact"/>
        <w:ind w:left="0" w:firstLine="420" w:firstLineChars="200"/>
        <w:rPr>
          <w:color w:val="auto"/>
          <w:szCs w:val="21"/>
          <w:highlight w:val="none"/>
        </w:rPr>
      </w:pPr>
      <w:r>
        <w:rPr>
          <w:rFonts w:hint="eastAsia"/>
          <w:color w:val="auto"/>
          <w:szCs w:val="21"/>
          <w:highlight w:val="none"/>
        </w:rPr>
        <w:t>29.《电气装置安装工程接地装置施工及验收规范》（GB 50169-2016）</w:t>
      </w:r>
    </w:p>
    <w:p w14:paraId="527BDB17">
      <w:pPr>
        <w:pStyle w:val="14"/>
        <w:spacing w:line="400" w:lineRule="exact"/>
        <w:ind w:left="0" w:firstLine="420" w:firstLineChars="200"/>
        <w:rPr>
          <w:color w:val="auto"/>
          <w:szCs w:val="21"/>
          <w:highlight w:val="none"/>
        </w:rPr>
      </w:pPr>
      <w:r>
        <w:rPr>
          <w:rFonts w:hint="eastAsia"/>
          <w:color w:val="auto"/>
          <w:szCs w:val="21"/>
          <w:highlight w:val="none"/>
        </w:rPr>
        <w:t>30.《建筑给水排水设计标准》（GB 50015- 2019 ）</w:t>
      </w:r>
    </w:p>
    <w:p w14:paraId="7DB61FAD">
      <w:pPr>
        <w:pStyle w:val="14"/>
        <w:spacing w:line="400" w:lineRule="exact"/>
        <w:ind w:left="0" w:firstLine="420" w:firstLineChars="200"/>
        <w:rPr>
          <w:color w:val="auto"/>
          <w:szCs w:val="21"/>
          <w:highlight w:val="none"/>
        </w:rPr>
      </w:pPr>
      <w:r>
        <w:rPr>
          <w:rFonts w:hint="eastAsia"/>
          <w:color w:val="auto"/>
          <w:szCs w:val="21"/>
          <w:highlight w:val="none"/>
        </w:rPr>
        <w:t>31.《建筑设计防火规范》（GB 50016-2014）</w:t>
      </w:r>
    </w:p>
    <w:p w14:paraId="77A04C27">
      <w:pPr>
        <w:pStyle w:val="14"/>
        <w:spacing w:line="400" w:lineRule="exact"/>
        <w:ind w:left="0" w:firstLine="420" w:firstLineChars="200"/>
        <w:rPr>
          <w:color w:val="auto"/>
          <w:szCs w:val="21"/>
          <w:highlight w:val="none"/>
        </w:rPr>
      </w:pPr>
      <w:r>
        <w:rPr>
          <w:rFonts w:hint="eastAsia"/>
          <w:color w:val="auto"/>
          <w:szCs w:val="21"/>
          <w:highlight w:val="none"/>
        </w:rPr>
        <w:t>32.《建筑边坡工程技术规范》（GB 50330-2013）</w:t>
      </w:r>
    </w:p>
    <w:p w14:paraId="1B073661">
      <w:pPr>
        <w:pStyle w:val="14"/>
        <w:spacing w:line="400" w:lineRule="exact"/>
        <w:ind w:left="0" w:firstLine="420" w:firstLineChars="200"/>
        <w:rPr>
          <w:color w:val="auto"/>
          <w:szCs w:val="21"/>
          <w:highlight w:val="none"/>
        </w:rPr>
      </w:pPr>
      <w:r>
        <w:rPr>
          <w:rFonts w:hint="eastAsia"/>
          <w:color w:val="auto"/>
          <w:szCs w:val="21"/>
          <w:highlight w:val="none"/>
        </w:rPr>
        <w:t>33.《浅层地震勘查技术规范》（DZ/T 0170-1997）</w:t>
      </w:r>
    </w:p>
    <w:p w14:paraId="6E5FE8D5">
      <w:pPr>
        <w:pStyle w:val="14"/>
        <w:spacing w:line="400" w:lineRule="exact"/>
        <w:ind w:left="0" w:firstLine="420" w:firstLineChars="200"/>
        <w:rPr>
          <w:color w:val="auto"/>
          <w:szCs w:val="21"/>
          <w:highlight w:val="none"/>
        </w:rPr>
      </w:pPr>
      <w:r>
        <w:rPr>
          <w:rFonts w:hint="eastAsia"/>
          <w:color w:val="auto"/>
          <w:szCs w:val="21"/>
          <w:highlight w:val="none"/>
        </w:rPr>
        <w:t>34.《建筑工程地质勘探与取样技术规程》（JGJ/T 87-2012）</w:t>
      </w:r>
    </w:p>
    <w:p w14:paraId="395E94FD">
      <w:pPr>
        <w:pStyle w:val="14"/>
        <w:spacing w:line="400" w:lineRule="exact"/>
        <w:ind w:left="0" w:firstLine="420" w:firstLineChars="200"/>
        <w:rPr>
          <w:color w:val="auto"/>
          <w:szCs w:val="21"/>
          <w:highlight w:val="none"/>
        </w:rPr>
      </w:pPr>
      <w:r>
        <w:rPr>
          <w:rFonts w:hint="eastAsia"/>
          <w:color w:val="auto"/>
          <w:szCs w:val="21"/>
          <w:highlight w:val="none"/>
        </w:rPr>
        <w:t>35.《工程岩体试验方法标准》（GB/T 50266-2013）</w:t>
      </w:r>
    </w:p>
    <w:p w14:paraId="63063F6B">
      <w:pPr>
        <w:pStyle w:val="14"/>
        <w:spacing w:line="400" w:lineRule="exact"/>
        <w:ind w:left="0" w:firstLine="420" w:firstLineChars="200"/>
        <w:rPr>
          <w:color w:val="auto"/>
          <w:szCs w:val="21"/>
          <w:highlight w:val="none"/>
        </w:rPr>
      </w:pPr>
      <w:r>
        <w:rPr>
          <w:rFonts w:hint="eastAsia"/>
          <w:color w:val="auto"/>
          <w:szCs w:val="21"/>
          <w:highlight w:val="none"/>
        </w:rPr>
        <w:t>36.《岩土工程勘察安全标准》（GB/T 50585-2019）</w:t>
      </w:r>
    </w:p>
    <w:p w14:paraId="0CB463B2">
      <w:pPr>
        <w:pStyle w:val="14"/>
        <w:spacing w:line="400" w:lineRule="exact"/>
        <w:ind w:left="0" w:firstLine="420" w:firstLineChars="200"/>
        <w:rPr>
          <w:color w:val="auto"/>
          <w:szCs w:val="21"/>
          <w:highlight w:val="none"/>
        </w:rPr>
      </w:pPr>
      <w:r>
        <w:rPr>
          <w:rFonts w:hint="eastAsia"/>
          <w:color w:val="auto"/>
          <w:szCs w:val="21"/>
          <w:highlight w:val="none"/>
        </w:rPr>
        <w:t>37.《建筑结构荷载规范》（GB 50009-2012）</w:t>
      </w:r>
    </w:p>
    <w:p w14:paraId="5499C543">
      <w:pPr>
        <w:pStyle w:val="14"/>
        <w:spacing w:line="400" w:lineRule="exact"/>
        <w:ind w:left="0" w:firstLine="420" w:firstLineChars="200"/>
        <w:rPr>
          <w:color w:val="auto"/>
          <w:szCs w:val="21"/>
          <w:highlight w:val="none"/>
        </w:rPr>
      </w:pPr>
      <w:r>
        <w:rPr>
          <w:rFonts w:hint="eastAsia"/>
          <w:color w:val="auto"/>
          <w:szCs w:val="21"/>
          <w:highlight w:val="none"/>
        </w:rPr>
        <w:t>38.《建筑工程抗震设防分类标准》（GB 50223-2008）</w:t>
      </w:r>
    </w:p>
    <w:p w14:paraId="135D4CF2">
      <w:pPr>
        <w:pStyle w:val="14"/>
        <w:spacing w:line="400" w:lineRule="exact"/>
        <w:ind w:left="0" w:firstLine="420" w:firstLineChars="200"/>
        <w:rPr>
          <w:color w:val="auto"/>
          <w:szCs w:val="21"/>
          <w:highlight w:val="none"/>
        </w:rPr>
      </w:pPr>
      <w:r>
        <w:rPr>
          <w:rFonts w:hint="eastAsia"/>
          <w:color w:val="auto"/>
          <w:szCs w:val="21"/>
          <w:highlight w:val="none"/>
        </w:rPr>
        <w:t>39.《建筑地基基础设计规范》（GB 50007-2011）</w:t>
      </w:r>
    </w:p>
    <w:p w14:paraId="6705C61E">
      <w:pPr>
        <w:pStyle w:val="14"/>
        <w:spacing w:line="400" w:lineRule="exact"/>
        <w:ind w:left="0" w:firstLine="420" w:firstLineChars="200"/>
        <w:rPr>
          <w:color w:val="auto"/>
          <w:szCs w:val="21"/>
          <w:highlight w:val="none"/>
        </w:rPr>
      </w:pPr>
      <w:r>
        <w:rPr>
          <w:rFonts w:hint="eastAsia"/>
          <w:color w:val="auto"/>
          <w:szCs w:val="21"/>
          <w:highlight w:val="none"/>
        </w:rPr>
        <w:t>40.《建筑地基处理技术规范》（JGJ 79-2012）</w:t>
      </w:r>
    </w:p>
    <w:p w14:paraId="5CF83AD8">
      <w:pPr>
        <w:pStyle w:val="14"/>
        <w:spacing w:line="400" w:lineRule="exact"/>
        <w:ind w:left="0" w:firstLine="420" w:firstLineChars="200"/>
        <w:rPr>
          <w:color w:val="auto"/>
          <w:szCs w:val="21"/>
          <w:highlight w:val="none"/>
        </w:rPr>
      </w:pPr>
      <w:r>
        <w:rPr>
          <w:rFonts w:hint="eastAsia"/>
          <w:color w:val="auto"/>
          <w:szCs w:val="21"/>
          <w:highlight w:val="none"/>
        </w:rPr>
        <w:t>41.《混凝土结构设计规范（2015年版）》（GB 50010-2010）</w:t>
      </w:r>
    </w:p>
    <w:p w14:paraId="49CB1EE2">
      <w:pPr>
        <w:pStyle w:val="14"/>
        <w:spacing w:line="400" w:lineRule="exact"/>
        <w:ind w:left="0" w:firstLine="420" w:firstLineChars="200"/>
        <w:rPr>
          <w:color w:val="auto"/>
          <w:szCs w:val="21"/>
          <w:highlight w:val="none"/>
        </w:rPr>
      </w:pPr>
      <w:r>
        <w:rPr>
          <w:rFonts w:hint="eastAsia"/>
          <w:color w:val="auto"/>
          <w:szCs w:val="21"/>
          <w:highlight w:val="none"/>
        </w:rPr>
        <w:t>42.《建筑抗震设计规范（2016年版）》（GB 50011-2010）</w:t>
      </w:r>
    </w:p>
    <w:p w14:paraId="7B972E23">
      <w:pPr>
        <w:pStyle w:val="14"/>
        <w:spacing w:line="400" w:lineRule="exact"/>
        <w:ind w:left="0" w:firstLine="420" w:firstLineChars="200"/>
        <w:rPr>
          <w:color w:val="auto"/>
          <w:szCs w:val="21"/>
          <w:highlight w:val="none"/>
        </w:rPr>
      </w:pPr>
      <w:r>
        <w:rPr>
          <w:rFonts w:hint="eastAsia"/>
          <w:color w:val="auto"/>
          <w:szCs w:val="21"/>
          <w:highlight w:val="none"/>
        </w:rPr>
        <w:t>43.《给水排水工程构筑物结构设计规范》（GB 50069-2002）</w:t>
      </w:r>
    </w:p>
    <w:p w14:paraId="662EB113">
      <w:pPr>
        <w:pStyle w:val="14"/>
        <w:spacing w:line="400" w:lineRule="exact"/>
        <w:ind w:left="0" w:firstLine="420" w:firstLineChars="200"/>
        <w:rPr>
          <w:color w:val="auto"/>
          <w:szCs w:val="21"/>
          <w:highlight w:val="none"/>
        </w:rPr>
      </w:pPr>
      <w:r>
        <w:rPr>
          <w:rFonts w:hint="eastAsia"/>
          <w:color w:val="auto"/>
          <w:szCs w:val="21"/>
          <w:highlight w:val="none"/>
        </w:rPr>
        <w:t>44.《砌体结构设计规范》（GB 50003-2011）</w:t>
      </w:r>
    </w:p>
    <w:p w14:paraId="3F1CF02C">
      <w:pPr>
        <w:pStyle w:val="14"/>
        <w:spacing w:line="400" w:lineRule="exact"/>
        <w:ind w:left="0" w:firstLine="420" w:firstLineChars="200"/>
        <w:rPr>
          <w:color w:val="auto"/>
          <w:szCs w:val="21"/>
          <w:highlight w:val="none"/>
        </w:rPr>
      </w:pPr>
      <w:r>
        <w:rPr>
          <w:rFonts w:hint="eastAsia"/>
          <w:color w:val="auto"/>
          <w:szCs w:val="21"/>
          <w:highlight w:val="none"/>
        </w:rPr>
        <w:t>以下为浙江省地方标准和有关要求：</w:t>
      </w:r>
    </w:p>
    <w:p w14:paraId="3A32D055">
      <w:pPr>
        <w:pStyle w:val="14"/>
        <w:spacing w:line="400" w:lineRule="exact"/>
        <w:ind w:left="0" w:firstLine="420" w:firstLineChars="200"/>
        <w:rPr>
          <w:color w:val="auto"/>
          <w:szCs w:val="21"/>
          <w:highlight w:val="none"/>
        </w:rPr>
      </w:pPr>
      <w:r>
        <w:rPr>
          <w:rFonts w:hint="eastAsia"/>
          <w:color w:val="auto"/>
          <w:szCs w:val="21"/>
          <w:highlight w:val="none"/>
        </w:rPr>
        <w:t>1.《公路水泥稳定碎石基层振动成型法施工技术规范》（DB33/T 836-2011）</w:t>
      </w:r>
    </w:p>
    <w:p w14:paraId="7DF5B040">
      <w:pPr>
        <w:pStyle w:val="14"/>
        <w:spacing w:line="400" w:lineRule="exact"/>
        <w:ind w:left="0" w:firstLine="420" w:firstLineChars="200"/>
        <w:rPr>
          <w:color w:val="auto"/>
          <w:szCs w:val="21"/>
          <w:highlight w:val="none"/>
        </w:rPr>
      </w:pPr>
      <w:r>
        <w:rPr>
          <w:rFonts w:hint="eastAsia"/>
          <w:color w:val="auto"/>
          <w:szCs w:val="21"/>
          <w:highlight w:val="none"/>
        </w:rPr>
        <w:t>2.《高速公路联网运行收费、监控、通信系统技术要求》（DB33/T 747-2009）</w:t>
      </w:r>
    </w:p>
    <w:p w14:paraId="719D6BAD">
      <w:pPr>
        <w:pStyle w:val="14"/>
        <w:spacing w:line="400" w:lineRule="exact"/>
        <w:ind w:left="0" w:firstLine="420" w:firstLineChars="200"/>
        <w:rPr>
          <w:color w:val="auto"/>
          <w:szCs w:val="21"/>
          <w:highlight w:val="none"/>
        </w:rPr>
      </w:pPr>
      <w:r>
        <w:rPr>
          <w:rFonts w:hint="eastAsia"/>
          <w:color w:val="auto"/>
          <w:szCs w:val="21"/>
          <w:highlight w:val="none"/>
        </w:rPr>
        <w:t>3.《高速公路交通安全设施设计规范》（DB33/T 704-2020）</w:t>
      </w:r>
    </w:p>
    <w:p w14:paraId="45B9B06C">
      <w:pPr>
        <w:pStyle w:val="14"/>
        <w:spacing w:line="400" w:lineRule="exact"/>
        <w:ind w:left="0" w:firstLine="420" w:firstLineChars="200"/>
        <w:rPr>
          <w:color w:val="auto"/>
          <w:szCs w:val="21"/>
          <w:highlight w:val="none"/>
        </w:rPr>
      </w:pPr>
      <w:r>
        <w:rPr>
          <w:rFonts w:hint="eastAsia"/>
          <w:color w:val="auto"/>
          <w:szCs w:val="21"/>
          <w:highlight w:val="none"/>
        </w:rPr>
        <w:t>4.《公路绿化设计规范》（DB33/T 2062-2017）</w:t>
      </w:r>
    </w:p>
    <w:p w14:paraId="371823EE">
      <w:pPr>
        <w:pStyle w:val="14"/>
        <w:spacing w:line="400" w:lineRule="exact"/>
        <w:ind w:left="0" w:firstLine="420" w:firstLineChars="200"/>
        <w:rPr>
          <w:color w:val="auto"/>
          <w:szCs w:val="21"/>
          <w:highlight w:val="none"/>
        </w:rPr>
      </w:pPr>
      <w:r>
        <w:rPr>
          <w:rFonts w:hint="eastAsia"/>
          <w:color w:val="auto"/>
          <w:szCs w:val="21"/>
          <w:highlight w:val="none"/>
        </w:rPr>
        <w:t>5.《浙江省高速公路沥青路面规范化施工指南》（浙交〔2019〕123号）</w:t>
      </w:r>
    </w:p>
    <w:p w14:paraId="4E4830F3">
      <w:pPr>
        <w:pStyle w:val="14"/>
        <w:spacing w:line="400" w:lineRule="exact"/>
        <w:ind w:left="0" w:firstLine="420" w:firstLineChars="200"/>
        <w:rPr>
          <w:color w:val="auto"/>
          <w:szCs w:val="21"/>
          <w:highlight w:val="none"/>
        </w:rPr>
      </w:pPr>
      <w:r>
        <w:rPr>
          <w:rFonts w:hint="eastAsia"/>
          <w:color w:val="auto"/>
          <w:szCs w:val="21"/>
          <w:highlight w:val="none"/>
        </w:rPr>
        <w:t>6.《工程建设岩土工程勘察规范》（DB33/T 1065-2019）</w:t>
      </w:r>
    </w:p>
    <w:p w14:paraId="2EF62A31">
      <w:pPr>
        <w:pStyle w:val="14"/>
        <w:spacing w:line="400" w:lineRule="exact"/>
        <w:ind w:left="0" w:firstLine="420" w:firstLineChars="200"/>
        <w:rPr>
          <w:color w:val="auto"/>
          <w:szCs w:val="21"/>
          <w:highlight w:val="none"/>
        </w:rPr>
      </w:pPr>
      <w:r>
        <w:rPr>
          <w:rFonts w:hint="eastAsia"/>
          <w:color w:val="auto"/>
          <w:szCs w:val="21"/>
          <w:highlight w:val="none"/>
        </w:rPr>
        <w:t>7.《公路软土地基路堤设计规范》（DB33_T 904-2021）</w:t>
      </w:r>
    </w:p>
    <w:p w14:paraId="29012378">
      <w:pPr>
        <w:pStyle w:val="14"/>
        <w:spacing w:line="400" w:lineRule="exact"/>
        <w:ind w:left="0" w:firstLine="420" w:firstLineChars="200"/>
        <w:rPr>
          <w:color w:val="auto"/>
          <w:szCs w:val="21"/>
          <w:highlight w:val="none"/>
        </w:rPr>
      </w:pPr>
      <w:r>
        <w:rPr>
          <w:rFonts w:hint="eastAsia"/>
          <w:color w:val="auto"/>
          <w:szCs w:val="21"/>
          <w:highlight w:val="none"/>
        </w:rPr>
        <w:t>8.《旋转式防撞护栏设置规范》（DB33/T888-2020）</w:t>
      </w:r>
    </w:p>
    <w:p w14:paraId="43FDD75D">
      <w:pPr>
        <w:pStyle w:val="14"/>
        <w:spacing w:line="400" w:lineRule="exact"/>
        <w:ind w:left="0" w:firstLine="420" w:firstLineChars="200"/>
        <w:rPr>
          <w:color w:val="auto"/>
          <w:szCs w:val="21"/>
          <w:highlight w:val="none"/>
        </w:rPr>
      </w:pPr>
      <w:r>
        <w:rPr>
          <w:rFonts w:hint="eastAsia"/>
          <w:color w:val="auto"/>
          <w:szCs w:val="21"/>
          <w:highlight w:val="none"/>
        </w:rPr>
        <w:t>9.《公路钢板混凝土组合梁桥设计规范》（DB33/T2283-2020）</w:t>
      </w:r>
    </w:p>
    <w:p w14:paraId="43A7EF68">
      <w:pPr>
        <w:pStyle w:val="14"/>
        <w:spacing w:line="400" w:lineRule="exact"/>
        <w:ind w:left="0" w:firstLine="420" w:firstLineChars="200"/>
        <w:rPr>
          <w:color w:val="auto"/>
          <w:szCs w:val="21"/>
          <w:highlight w:val="none"/>
        </w:rPr>
      </w:pPr>
      <w:r>
        <w:rPr>
          <w:rFonts w:hint="eastAsia"/>
          <w:color w:val="auto"/>
          <w:szCs w:val="21"/>
          <w:highlight w:val="none"/>
        </w:rPr>
        <w:t>10.《公路工程混凝土配合比设计规程》（DB33/T 999-2016）</w:t>
      </w:r>
    </w:p>
    <w:p w14:paraId="291B917E">
      <w:pPr>
        <w:pStyle w:val="14"/>
        <w:spacing w:line="400" w:lineRule="exact"/>
        <w:ind w:left="0" w:firstLine="420" w:firstLineChars="200"/>
        <w:rPr>
          <w:color w:val="auto"/>
          <w:szCs w:val="21"/>
          <w:highlight w:val="none"/>
        </w:rPr>
      </w:pPr>
      <w:r>
        <w:rPr>
          <w:rFonts w:hint="eastAsia"/>
          <w:color w:val="auto"/>
          <w:szCs w:val="21"/>
          <w:highlight w:val="none"/>
        </w:rPr>
        <w:t>11.《高速公路项目建设管理规范》（DB33/T 2003-2016）</w:t>
      </w:r>
    </w:p>
    <w:p w14:paraId="5F85D0CA">
      <w:pPr>
        <w:pStyle w:val="14"/>
        <w:spacing w:line="400" w:lineRule="exact"/>
        <w:ind w:left="0" w:firstLine="420" w:firstLineChars="200"/>
        <w:rPr>
          <w:color w:val="auto"/>
          <w:szCs w:val="21"/>
          <w:highlight w:val="none"/>
        </w:rPr>
      </w:pPr>
      <w:r>
        <w:rPr>
          <w:rFonts w:hint="eastAsia"/>
          <w:color w:val="auto"/>
          <w:szCs w:val="21"/>
          <w:highlight w:val="none"/>
        </w:rPr>
        <w:t>12.《高等级公路沥青路面设计规范》（DB33/T 896-2013）</w:t>
      </w:r>
    </w:p>
    <w:p w14:paraId="2B343A5B">
      <w:pPr>
        <w:pStyle w:val="14"/>
        <w:spacing w:line="400" w:lineRule="exact"/>
        <w:ind w:left="0" w:firstLine="420" w:firstLineChars="200"/>
        <w:rPr>
          <w:color w:val="auto"/>
          <w:szCs w:val="21"/>
          <w:highlight w:val="none"/>
        </w:rPr>
      </w:pPr>
      <w:r>
        <w:rPr>
          <w:rFonts w:hint="eastAsia"/>
          <w:color w:val="auto"/>
          <w:szCs w:val="21"/>
          <w:highlight w:val="none"/>
        </w:rPr>
        <w:t>13.《公路边坡植被防护工程施工技术规范》（DB33_T 916-2014）</w:t>
      </w:r>
    </w:p>
    <w:p w14:paraId="3961CFE6">
      <w:pPr>
        <w:pStyle w:val="14"/>
        <w:spacing w:line="400" w:lineRule="exact"/>
        <w:ind w:left="0" w:firstLine="420" w:firstLineChars="200"/>
        <w:rPr>
          <w:color w:val="auto"/>
          <w:szCs w:val="21"/>
          <w:highlight w:val="none"/>
        </w:rPr>
      </w:pPr>
      <w:r>
        <w:rPr>
          <w:rFonts w:hint="eastAsia"/>
          <w:color w:val="auto"/>
          <w:szCs w:val="21"/>
          <w:highlight w:val="none"/>
        </w:rPr>
        <w:t>14.《公路工程泡沫混凝土应用技术规范》（DB33_T 996-2015）</w:t>
      </w:r>
    </w:p>
    <w:p w14:paraId="3C7CEE3B">
      <w:pPr>
        <w:pStyle w:val="14"/>
        <w:spacing w:line="400" w:lineRule="exact"/>
        <w:ind w:left="0" w:firstLine="420" w:firstLineChars="200"/>
        <w:rPr>
          <w:color w:val="auto"/>
          <w:szCs w:val="21"/>
          <w:highlight w:val="none"/>
        </w:rPr>
      </w:pPr>
      <w:r>
        <w:rPr>
          <w:rFonts w:hint="eastAsia"/>
          <w:color w:val="auto"/>
          <w:szCs w:val="21"/>
          <w:highlight w:val="none"/>
        </w:rPr>
        <w:t>15.《高速公路联网运行收费、监控、通信系统技术要求》（DB33_T 747-2009）</w:t>
      </w:r>
    </w:p>
    <w:p w14:paraId="423DA12B">
      <w:pPr>
        <w:pStyle w:val="14"/>
        <w:spacing w:line="400" w:lineRule="exact"/>
        <w:ind w:left="0" w:firstLine="420" w:firstLineChars="200"/>
        <w:rPr>
          <w:color w:val="auto"/>
          <w:szCs w:val="21"/>
          <w:highlight w:val="none"/>
        </w:rPr>
      </w:pPr>
      <w:r>
        <w:rPr>
          <w:rFonts w:hint="eastAsia"/>
          <w:color w:val="auto"/>
          <w:szCs w:val="21"/>
          <w:highlight w:val="none"/>
        </w:rPr>
        <w:t>16.《高速公路多义性路径识别系统技术规范》（DB33_T 857-2012）</w:t>
      </w:r>
    </w:p>
    <w:p w14:paraId="044BC40C">
      <w:pPr>
        <w:pStyle w:val="14"/>
        <w:spacing w:line="400" w:lineRule="exact"/>
        <w:ind w:left="0" w:firstLine="420" w:firstLineChars="200"/>
        <w:rPr>
          <w:color w:val="auto"/>
          <w:szCs w:val="21"/>
          <w:highlight w:val="none"/>
        </w:rPr>
      </w:pPr>
      <w:r>
        <w:rPr>
          <w:rFonts w:hint="eastAsia"/>
          <w:color w:val="auto"/>
          <w:szCs w:val="21"/>
          <w:highlight w:val="none"/>
        </w:rPr>
        <w:t>17.《高速公路计重收费系统技术要求》（DB33_T 945-2014）</w:t>
      </w:r>
    </w:p>
    <w:p w14:paraId="1823B598">
      <w:pPr>
        <w:pStyle w:val="14"/>
        <w:spacing w:line="400" w:lineRule="exact"/>
        <w:ind w:left="0" w:firstLine="420" w:firstLineChars="200"/>
        <w:rPr>
          <w:color w:val="auto"/>
          <w:szCs w:val="21"/>
          <w:highlight w:val="none"/>
        </w:rPr>
      </w:pPr>
      <w:r>
        <w:rPr>
          <w:rFonts w:hint="eastAsia"/>
          <w:color w:val="auto"/>
          <w:szCs w:val="21"/>
          <w:highlight w:val="none"/>
        </w:rPr>
        <w:t>18.《蓄能自发光交通标识设置技术规程》（DB33_T 975-2021）</w:t>
      </w:r>
    </w:p>
    <w:p w14:paraId="3D439FB7">
      <w:pPr>
        <w:pStyle w:val="14"/>
        <w:spacing w:line="400" w:lineRule="exact"/>
        <w:ind w:left="0" w:firstLine="420" w:firstLineChars="200"/>
        <w:rPr>
          <w:color w:val="auto"/>
          <w:szCs w:val="21"/>
          <w:highlight w:val="none"/>
        </w:rPr>
      </w:pPr>
      <w:r>
        <w:rPr>
          <w:rFonts w:hint="eastAsia"/>
          <w:color w:val="auto"/>
          <w:szCs w:val="21"/>
          <w:highlight w:val="none"/>
        </w:rPr>
        <w:t>19.《建筑工程消防验收规范》（DB33_1067-2010）</w:t>
      </w:r>
    </w:p>
    <w:p w14:paraId="2B05D2AE">
      <w:pPr>
        <w:pStyle w:val="14"/>
        <w:spacing w:line="400" w:lineRule="exact"/>
        <w:ind w:left="0" w:firstLine="420" w:firstLineChars="200"/>
        <w:rPr>
          <w:color w:val="auto"/>
          <w:szCs w:val="21"/>
          <w:highlight w:val="none"/>
        </w:rPr>
      </w:pPr>
      <w:r>
        <w:rPr>
          <w:rFonts w:hint="eastAsia"/>
          <w:color w:val="auto"/>
          <w:szCs w:val="21"/>
          <w:highlight w:val="none"/>
        </w:rPr>
        <w:t>20.《高速公路视频监控系统联网技术要求》（DB33_T 2047-2017）</w:t>
      </w:r>
    </w:p>
    <w:p w14:paraId="30C21A0D">
      <w:pPr>
        <w:pStyle w:val="14"/>
        <w:spacing w:line="400" w:lineRule="exact"/>
        <w:ind w:left="0" w:firstLine="420" w:firstLineChars="200"/>
        <w:rPr>
          <w:color w:val="auto"/>
          <w:szCs w:val="21"/>
          <w:highlight w:val="none"/>
        </w:rPr>
      </w:pPr>
      <w:r>
        <w:rPr>
          <w:rFonts w:hint="eastAsia"/>
          <w:color w:val="auto"/>
          <w:szCs w:val="21"/>
          <w:highlight w:val="none"/>
        </w:rPr>
        <w:t>21.《智慧高速公路建设指南（暂行）》（ZJ_ZN 2020-01）</w:t>
      </w:r>
    </w:p>
    <w:p w14:paraId="6A55AB29">
      <w:pPr>
        <w:pStyle w:val="14"/>
        <w:spacing w:line="400" w:lineRule="exact"/>
        <w:ind w:left="0" w:firstLine="420" w:firstLineChars="200"/>
        <w:rPr>
          <w:color w:val="auto"/>
          <w:szCs w:val="21"/>
          <w:highlight w:val="none"/>
        </w:rPr>
      </w:pPr>
      <w:r>
        <w:rPr>
          <w:rFonts w:hint="eastAsia"/>
          <w:color w:val="auto"/>
          <w:szCs w:val="21"/>
          <w:highlight w:val="none"/>
        </w:rPr>
        <w:t>22.《浙江省高速公路建设项目设计勘察工作管理办法》（浙交〔2020〕91 号）</w:t>
      </w:r>
    </w:p>
    <w:p w14:paraId="5FDF59F5">
      <w:pPr>
        <w:pStyle w:val="14"/>
        <w:spacing w:line="400" w:lineRule="exact"/>
        <w:ind w:left="0" w:firstLine="420" w:firstLineChars="200"/>
        <w:rPr>
          <w:color w:val="auto"/>
          <w:szCs w:val="21"/>
          <w:highlight w:val="none"/>
        </w:rPr>
      </w:pPr>
      <w:r>
        <w:rPr>
          <w:rFonts w:hint="eastAsia"/>
          <w:color w:val="auto"/>
          <w:szCs w:val="21"/>
          <w:highlight w:val="none"/>
        </w:rPr>
        <w:t>23.《高速公路工程变更结算价操作指南》（ZJ/ZN 2019-10）</w:t>
      </w:r>
    </w:p>
    <w:p w14:paraId="6E6BEBAB">
      <w:pPr>
        <w:pStyle w:val="14"/>
        <w:spacing w:line="400" w:lineRule="exact"/>
        <w:ind w:left="0" w:firstLine="420" w:firstLineChars="200"/>
        <w:rPr>
          <w:color w:val="auto"/>
          <w:szCs w:val="21"/>
          <w:highlight w:val="none"/>
        </w:rPr>
      </w:pPr>
      <w:r>
        <w:rPr>
          <w:rFonts w:hint="eastAsia"/>
          <w:color w:val="auto"/>
          <w:szCs w:val="21"/>
          <w:highlight w:val="none"/>
        </w:rPr>
        <w:t>24.《浙江省公路桥梁台背填筑设计与施工要点》（浙交〔2019〕122号）</w:t>
      </w:r>
    </w:p>
    <w:p w14:paraId="4A60A456">
      <w:pPr>
        <w:pStyle w:val="14"/>
        <w:spacing w:line="400" w:lineRule="exact"/>
        <w:ind w:left="0" w:firstLine="420" w:firstLineChars="200"/>
        <w:rPr>
          <w:color w:val="auto"/>
          <w:szCs w:val="21"/>
          <w:highlight w:val="none"/>
        </w:rPr>
      </w:pPr>
      <w:r>
        <w:rPr>
          <w:rFonts w:hint="eastAsia"/>
          <w:color w:val="auto"/>
          <w:szCs w:val="21"/>
          <w:highlight w:val="none"/>
        </w:rPr>
        <w:t>25.《关于进一步加强高速公路、普通国省道软土地基勘察设计与施工管理的意见》 （浙交〔2018〕108号）</w:t>
      </w:r>
    </w:p>
    <w:p w14:paraId="25099014">
      <w:pPr>
        <w:pStyle w:val="14"/>
        <w:spacing w:line="400" w:lineRule="exact"/>
        <w:ind w:left="0" w:firstLine="420" w:firstLineChars="200"/>
        <w:rPr>
          <w:color w:val="auto"/>
          <w:szCs w:val="21"/>
          <w:highlight w:val="none"/>
        </w:rPr>
      </w:pPr>
      <w:r>
        <w:rPr>
          <w:rFonts w:hint="eastAsia"/>
          <w:color w:val="auto"/>
          <w:szCs w:val="21"/>
          <w:highlight w:val="none"/>
        </w:rPr>
        <w:t>26.《公共建筑节能设计标准》（DB 33/1036-2021）</w:t>
      </w:r>
    </w:p>
    <w:p w14:paraId="440FE4E4">
      <w:pPr>
        <w:pStyle w:val="14"/>
        <w:spacing w:line="400" w:lineRule="exact"/>
        <w:ind w:left="0" w:firstLine="420" w:firstLineChars="200"/>
        <w:rPr>
          <w:color w:val="auto"/>
          <w:szCs w:val="21"/>
          <w:highlight w:val="none"/>
        </w:rPr>
      </w:pPr>
      <w:r>
        <w:rPr>
          <w:rFonts w:hint="eastAsia"/>
          <w:color w:val="auto"/>
          <w:szCs w:val="21"/>
          <w:highlight w:val="none"/>
        </w:rPr>
        <w:t>27.《2020 年浙江省消防技术规范难点问题操作技术指南》</w:t>
      </w:r>
    </w:p>
    <w:p w14:paraId="31E9DF07">
      <w:pPr>
        <w:pStyle w:val="14"/>
        <w:spacing w:line="400" w:lineRule="exact"/>
        <w:ind w:left="0" w:firstLine="420" w:firstLineChars="200"/>
        <w:rPr>
          <w:color w:val="auto"/>
          <w:szCs w:val="21"/>
          <w:highlight w:val="none"/>
        </w:rPr>
      </w:pPr>
      <w:r>
        <w:rPr>
          <w:rFonts w:hint="eastAsia"/>
          <w:color w:val="auto"/>
          <w:szCs w:val="21"/>
          <w:highlight w:val="none"/>
        </w:rPr>
        <w:t>上述规范文件，若有更新，按最新规定执行。</w:t>
      </w:r>
    </w:p>
    <w:p w14:paraId="5FE72E72">
      <w:pPr>
        <w:pStyle w:val="14"/>
        <w:spacing w:line="400" w:lineRule="exact"/>
        <w:ind w:left="0" w:firstLine="0"/>
        <w:rPr>
          <w:rFonts w:ascii="黑体" w:hAnsi="黑体" w:eastAsia="黑体"/>
          <w:color w:val="auto"/>
          <w:szCs w:val="21"/>
          <w:highlight w:val="none"/>
        </w:rPr>
      </w:pPr>
      <w:r>
        <w:rPr>
          <w:rFonts w:hint="eastAsia" w:ascii="黑体" w:hAnsi="黑体" w:eastAsia="黑体"/>
          <w:color w:val="auto"/>
          <w:szCs w:val="21"/>
          <w:highlight w:val="none"/>
        </w:rPr>
        <w:t>四、发包人财产清单</w:t>
      </w:r>
    </w:p>
    <w:p w14:paraId="46866CB9">
      <w:pPr>
        <w:pStyle w:val="14"/>
        <w:spacing w:line="400" w:lineRule="exact"/>
        <w:ind w:left="0" w:firstLine="420" w:firstLineChars="200"/>
        <w:rPr>
          <w:color w:val="auto"/>
          <w:szCs w:val="21"/>
          <w:highlight w:val="none"/>
        </w:rPr>
      </w:pPr>
      <w:r>
        <w:rPr>
          <w:rFonts w:hint="eastAsia"/>
          <w:color w:val="auto"/>
          <w:szCs w:val="21"/>
          <w:highlight w:val="none"/>
        </w:rPr>
        <w:t>（一）发包人提供的设备、设施</w:t>
      </w:r>
    </w:p>
    <w:p w14:paraId="48AD77D3">
      <w:pPr>
        <w:pStyle w:val="14"/>
        <w:spacing w:line="400" w:lineRule="exact"/>
        <w:ind w:left="0" w:firstLine="420" w:firstLineChars="200"/>
        <w:rPr>
          <w:color w:val="auto"/>
          <w:szCs w:val="21"/>
          <w:highlight w:val="none"/>
        </w:rPr>
      </w:pPr>
      <w:r>
        <w:rPr>
          <w:rFonts w:hint="eastAsia"/>
          <w:color w:val="auto"/>
          <w:szCs w:val="21"/>
          <w:highlight w:val="none"/>
        </w:rPr>
        <w:t>不提供</w:t>
      </w:r>
    </w:p>
    <w:p w14:paraId="245D7E0B">
      <w:pPr>
        <w:pStyle w:val="14"/>
        <w:spacing w:line="400" w:lineRule="exact"/>
        <w:ind w:left="0" w:firstLine="420" w:firstLineChars="200"/>
        <w:rPr>
          <w:color w:val="auto"/>
          <w:szCs w:val="21"/>
          <w:highlight w:val="none"/>
        </w:rPr>
      </w:pPr>
      <w:r>
        <w:rPr>
          <w:rFonts w:hint="eastAsia"/>
          <w:color w:val="auto"/>
          <w:szCs w:val="21"/>
          <w:highlight w:val="none"/>
        </w:rPr>
        <w:t>（二）发包人提供的资料（如有）</w:t>
      </w:r>
    </w:p>
    <w:p w14:paraId="02F10957">
      <w:pPr>
        <w:pStyle w:val="14"/>
        <w:spacing w:line="400" w:lineRule="exact"/>
        <w:ind w:left="0" w:firstLine="420" w:firstLineChars="200"/>
        <w:rPr>
          <w:color w:val="auto"/>
          <w:szCs w:val="21"/>
          <w:highlight w:val="none"/>
        </w:rPr>
      </w:pPr>
      <w:r>
        <w:rPr>
          <w:rFonts w:hint="eastAsia"/>
          <w:color w:val="auto"/>
          <w:szCs w:val="21"/>
          <w:highlight w:val="none"/>
        </w:rPr>
        <w:t>1.施工场地及毗邻区域内的供水、排水、供电、供气、供热、通信、广播电视等地下管线资料，气象和水文观测资料，相邻建筑物和构筑物、地下工程的有关资料，以及其他与公路工程有关的原始资料</w:t>
      </w:r>
    </w:p>
    <w:p w14:paraId="2D052F71">
      <w:pPr>
        <w:pStyle w:val="14"/>
        <w:spacing w:line="400" w:lineRule="exact"/>
        <w:ind w:left="0" w:firstLine="420" w:firstLineChars="200"/>
        <w:rPr>
          <w:color w:val="auto"/>
          <w:szCs w:val="21"/>
          <w:highlight w:val="none"/>
        </w:rPr>
      </w:pPr>
      <w:r>
        <w:rPr>
          <w:rFonts w:hint="eastAsia"/>
          <w:color w:val="auto"/>
          <w:szCs w:val="21"/>
          <w:highlight w:val="none"/>
        </w:rPr>
        <w:t>2.定位放线的基准点、基准线和基准标高</w:t>
      </w:r>
    </w:p>
    <w:p w14:paraId="648006F8">
      <w:pPr>
        <w:pStyle w:val="14"/>
        <w:spacing w:line="400" w:lineRule="exact"/>
        <w:ind w:left="0" w:firstLine="420" w:firstLineChars="200"/>
        <w:rPr>
          <w:color w:val="auto"/>
          <w:szCs w:val="21"/>
          <w:highlight w:val="none"/>
        </w:rPr>
      </w:pPr>
      <w:r>
        <w:rPr>
          <w:rFonts w:hint="eastAsia"/>
          <w:color w:val="auto"/>
          <w:szCs w:val="21"/>
          <w:highlight w:val="none"/>
        </w:rPr>
        <w:t>3.发包人取得的有关审批、核准和备案材料</w:t>
      </w:r>
    </w:p>
    <w:p w14:paraId="2BF19177">
      <w:pPr>
        <w:pStyle w:val="14"/>
        <w:spacing w:line="400" w:lineRule="exact"/>
        <w:ind w:left="0" w:firstLine="420" w:firstLineChars="200"/>
        <w:rPr>
          <w:color w:val="auto"/>
          <w:szCs w:val="21"/>
          <w:highlight w:val="none"/>
        </w:rPr>
      </w:pPr>
      <w:r>
        <w:rPr>
          <w:rFonts w:hint="eastAsia"/>
          <w:color w:val="auto"/>
          <w:szCs w:val="21"/>
          <w:highlight w:val="none"/>
        </w:rPr>
        <w:t>4.前一阶段研究或设计的成果文件及相应的批件</w:t>
      </w:r>
    </w:p>
    <w:p w14:paraId="69B0EF92">
      <w:pPr>
        <w:pStyle w:val="14"/>
        <w:spacing w:line="400" w:lineRule="exact"/>
        <w:ind w:left="0" w:firstLine="420" w:firstLineChars="200"/>
        <w:rPr>
          <w:color w:val="auto"/>
          <w:szCs w:val="21"/>
          <w:highlight w:val="none"/>
        </w:rPr>
      </w:pPr>
      <w:r>
        <w:rPr>
          <w:rFonts w:hint="eastAsia"/>
          <w:color w:val="auto"/>
          <w:szCs w:val="21"/>
          <w:highlight w:val="none"/>
        </w:rPr>
        <w:t>5.发包人提供的技术标准、规范</w:t>
      </w:r>
    </w:p>
    <w:p w14:paraId="161AC7C6">
      <w:pPr>
        <w:pStyle w:val="14"/>
        <w:spacing w:line="400" w:lineRule="exact"/>
        <w:ind w:left="0" w:firstLine="420" w:firstLineChars="200"/>
        <w:rPr>
          <w:color w:val="auto"/>
          <w:szCs w:val="21"/>
          <w:highlight w:val="none"/>
        </w:rPr>
      </w:pPr>
      <w:r>
        <w:rPr>
          <w:rFonts w:hint="eastAsia"/>
          <w:color w:val="auto"/>
          <w:szCs w:val="21"/>
          <w:highlight w:val="none"/>
        </w:rPr>
        <w:t>6.其他资料</w:t>
      </w:r>
    </w:p>
    <w:p w14:paraId="3260FFBC">
      <w:pPr>
        <w:pStyle w:val="14"/>
        <w:spacing w:line="400" w:lineRule="exact"/>
        <w:ind w:left="0" w:firstLine="420" w:firstLineChars="200"/>
        <w:rPr>
          <w:color w:val="auto"/>
          <w:szCs w:val="21"/>
          <w:highlight w:val="none"/>
        </w:rPr>
      </w:pPr>
      <w:r>
        <w:rPr>
          <w:rFonts w:hint="eastAsia"/>
          <w:color w:val="auto"/>
          <w:szCs w:val="21"/>
          <w:highlight w:val="none"/>
        </w:rPr>
        <w:t>（三）发包人财产使用要求和退还要求</w:t>
      </w:r>
    </w:p>
    <w:p w14:paraId="6CFE993F">
      <w:pPr>
        <w:pStyle w:val="14"/>
        <w:spacing w:line="400" w:lineRule="exact"/>
        <w:ind w:left="0" w:firstLine="420" w:firstLineChars="200"/>
        <w:rPr>
          <w:color w:val="auto"/>
          <w:szCs w:val="21"/>
          <w:highlight w:val="none"/>
        </w:rPr>
      </w:pPr>
      <w:r>
        <w:rPr>
          <w:rFonts w:hint="eastAsia"/>
          <w:color w:val="auto"/>
          <w:szCs w:val="21"/>
          <w:highlight w:val="none"/>
        </w:rPr>
        <w:t>1.发包人财产使用要求：无</w:t>
      </w:r>
    </w:p>
    <w:p w14:paraId="49596876">
      <w:pPr>
        <w:pStyle w:val="14"/>
        <w:spacing w:line="400" w:lineRule="exact"/>
        <w:ind w:left="0" w:firstLine="420" w:firstLineChars="200"/>
        <w:rPr>
          <w:color w:val="auto"/>
          <w:szCs w:val="21"/>
          <w:highlight w:val="none"/>
        </w:rPr>
      </w:pPr>
      <w:r>
        <w:rPr>
          <w:rFonts w:hint="eastAsia"/>
          <w:color w:val="auto"/>
          <w:szCs w:val="21"/>
          <w:highlight w:val="none"/>
        </w:rPr>
        <w:t>2.发包人财产退还要求：相关资料须按要求保密。</w:t>
      </w:r>
    </w:p>
    <w:p w14:paraId="1ABEBFC5">
      <w:pPr>
        <w:pStyle w:val="14"/>
        <w:spacing w:line="400" w:lineRule="exact"/>
        <w:ind w:left="0" w:firstLine="0"/>
        <w:rPr>
          <w:rFonts w:ascii="黑体" w:hAnsi="黑体" w:eastAsia="黑体"/>
          <w:color w:val="auto"/>
          <w:szCs w:val="21"/>
          <w:highlight w:val="none"/>
        </w:rPr>
      </w:pPr>
      <w:r>
        <w:rPr>
          <w:rFonts w:hint="eastAsia" w:ascii="黑体" w:hAnsi="黑体" w:eastAsia="黑体"/>
          <w:color w:val="auto"/>
          <w:szCs w:val="21"/>
          <w:highlight w:val="none"/>
        </w:rPr>
        <w:t>五、发包人提供的便利条件</w:t>
      </w:r>
    </w:p>
    <w:p w14:paraId="689CFE0A">
      <w:pPr>
        <w:pStyle w:val="14"/>
        <w:spacing w:line="400" w:lineRule="exact"/>
        <w:ind w:left="0" w:firstLine="420" w:firstLineChars="200"/>
        <w:rPr>
          <w:color w:val="auto"/>
          <w:szCs w:val="21"/>
          <w:highlight w:val="none"/>
        </w:rPr>
      </w:pPr>
      <w:r>
        <w:rPr>
          <w:rFonts w:hint="eastAsia"/>
          <w:color w:val="auto"/>
          <w:szCs w:val="21"/>
          <w:highlight w:val="none"/>
        </w:rPr>
        <w:t>1.发包人提供的生活条件：无</w:t>
      </w:r>
    </w:p>
    <w:p w14:paraId="14C420B9">
      <w:pPr>
        <w:pStyle w:val="14"/>
        <w:spacing w:line="400" w:lineRule="exact"/>
        <w:ind w:left="0" w:firstLine="420" w:firstLineChars="200"/>
        <w:rPr>
          <w:color w:val="auto"/>
          <w:szCs w:val="21"/>
          <w:highlight w:val="none"/>
        </w:rPr>
      </w:pPr>
      <w:r>
        <w:rPr>
          <w:rFonts w:hint="eastAsia"/>
          <w:color w:val="auto"/>
          <w:szCs w:val="21"/>
          <w:highlight w:val="none"/>
        </w:rPr>
        <w:t>2.发包人提供的交通条件：无</w:t>
      </w:r>
    </w:p>
    <w:p w14:paraId="7DC26EBA">
      <w:pPr>
        <w:pStyle w:val="14"/>
        <w:spacing w:line="400" w:lineRule="exact"/>
        <w:ind w:left="0" w:firstLine="420" w:firstLineChars="200"/>
        <w:rPr>
          <w:color w:val="auto"/>
          <w:szCs w:val="21"/>
          <w:highlight w:val="none"/>
        </w:rPr>
      </w:pPr>
      <w:r>
        <w:rPr>
          <w:rFonts w:hint="eastAsia"/>
          <w:color w:val="auto"/>
          <w:szCs w:val="21"/>
          <w:highlight w:val="none"/>
        </w:rPr>
        <w:t>3.发包人提供的网络、通信条件：无</w:t>
      </w:r>
    </w:p>
    <w:p w14:paraId="785C713B">
      <w:pPr>
        <w:pStyle w:val="14"/>
        <w:spacing w:line="400" w:lineRule="exact"/>
        <w:ind w:left="0" w:firstLine="420" w:firstLineChars="200"/>
        <w:rPr>
          <w:color w:val="auto"/>
          <w:szCs w:val="21"/>
          <w:highlight w:val="none"/>
        </w:rPr>
      </w:pPr>
      <w:r>
        <w:rPr>
          <w:rFonts w:hint="eastAsia"/>
          <w:color w:val="auto"/>
          <w:szCs w:val="21"/>
          <w:highlight w:val="none"/>
        </w:rPr>
        <w:t>4.发包人提供的协助人员：无</w:t>
      </w:r>
    </w:p>
    <w:p w14:paraId="47894CA3">
      <w:pPr>
        <w:pStyle w:val="14"/>
        <w:spacing w:line="400" w:lineRule="exact"/>
        <w:ind w:left="0" w:firstLine="0"/>
        <w:rPr>
          <w:rFonts w:ascii="黑体" w:hAnsi="黑体" w:eastAsia="黑体"/>
          <w:color w:val="auto"/>
          <w:szCs w:val="21"/>
          <w:highlight w:val="none"/>
        </w:rPr>
      </w:pPr>
      <w:r>
        <w:rPr>
          <w:rFonts w:hint="eastAsia" w:ascii="黑体" w:hAnsi="黑体" w:eastAsia="黑体"/>
          <w:color w:val="auto"/>
          <w:szCs w:val="21"/>
          <w:highlight w:val="none"/>
        </w:rPr>
        <w:t>六、设计人需要自备的工作条件</w:t>
      </w:r>
    </w:p>
    <w:p w14:paraId="59A88DA3">
      <w:pPr>
        <w:pStyle w:val="14"/>
        <w:spacing w:line="400" w:lineRule="exact"/>
        <w:ind w:left="0" w:firstLine="420" w:firstLineChars="200"/>
        <w:rPr>
          <w:color w:val="auto"/>
          <w:szCs w:val="21"/>
          <w:highlight w:val="none"/>
        </w:rPr>
      </w:pPr>
      <w:r>
        <w:rPr>
          <w:rFonts w:hint="eastAsia"/>
          <w:color w:val="auto"/>
          <w:szCs w:val="21"/>
          <w:highlight w:val="none"/>
        </w:rPr>
        <w:t>1.设计人自备的工作手册：如本项目必备的规范标准、图集等</w:t>
      </w:r>
    </w:p>
    <w:p w14:paraId="0D885002">
      <w:pPr>
        <w:pStyle w:val="14"/>
        <w:spacing w:line="400" w:lineRule="exact"/>
        <w:ind w:left="0" w:firstLine="420" w:firstLineChars="200"/>
        <w:rPr>
          <w:color w:val="auto"/>
          <w:szCs w:val="21"/>
          <w:highlight w:val="none"/>
        </w:rPr>
      </w:pPr>
      <w:r>
        <w:rPr>
          <w:rFonts w:hint="eastAsia"/>
          <w:color w:val="auto"/>
          <w:szCs w:val="21"/>
          <w:highlight w:val="none"/>
        </w:rPr>
        <w:t>2.设计人自备的办公设备：如计算机、软件、投影、打印机、复印机、照相机</w:t>
      </w:r>
    </w:p>
    <w:p w14:paraId="0113974E">
      <w:pPr>
        <w:pStyle w:val="14"/>
        <w:spacing w:line="400" w:lineRule="exact"/>
        <w:ind w:left="0" w:firstLine="420" w:firstLineChars="200"/>
        <w:rPr>
          <w:color w:val="auto"/>
          <w:szCs w:val="21"/>
          <w:highlight w:val="none"/>
        </w:rPr>
      </w:pPr>
      <w:r>
        <w:rPr>
          <w:rFonts w:hint="eastAsia"/>
          <w:color w:val="auto"/>
          <w:szCs w:val="21"/>
          <w:highlight w:val="none"/>
        </w:rPr>
        <w:t>3.设计人自备的交通工具：如出行车辆等</w:t>
      </w:r>
    </w:p>
    <w:p w14:paraId="3DE764C9">
      <w:pPr>
        <w:pStyle w:val="14"/>
        <w:spacing w:line="400" w:lineRule="exact"/>
        <w:ind w:left="0" w:firstLine="420" w:firstLineChars="200"/>
        <w:rPr>
          <w:color w:val="auto"/>
          <w:szCs w:val="21"/>
          <w:highlight w:val="none"/>
        </w:rPr>
      </w:pPr>
      <w:r>
        <w:rPr>
          <w:rFonts w:hint="eastAsia"/>
          <w:color w:val="auto"/>
          <w:szCs w:val="21"/>
          <w:highlight w:val="none"/>
        </w:rPr>
        <w:t>4.设计人自备的现场办公设施：如办公桌椅、文件柜等</w:t>
      </w:r>
    </w:p>
    <w:p w14:paraId="6E344DC0">
      <w:pPr>
        <w:pStyle w:val="14"/>
        <w:spacing w:line="400" w:lineRule="exact"/>
        <w:ind w:left="0" w:firstLine="420" w:firstLineChars="200"/>
        <w:rPr>
          <w:color w:val="auto"/>
          <w:szCs w:val="21"/>
          <w:highlight w:val="none"/>
        </w:rPr>
      </w:pPr>
      <w:r>
        <w:rPr>
          <w:rFonts w:hint="eastAsia"/>
          <w:color w:val="auto"/>
          <w:szCs w:val="21"/>
          <w:highlight w:val="none"/>
        </w:rPr>
        <w:t>5.设计人自备的安全设施：如安全帽、安全鞋、手电筒等</w:t>
      </w:r>
    </w:p>
    <w:p w14:paraId="28227EF5">
      <w:pPr>
        <w:pStyle w:val="14"/>
        <w:spacing w:line="400" w:lineRule="exact"/>
        <w:ind w:left="0" w:firstLine="420" w:firstLineChars="200"/>
        <w:rPr>
          <w:color w:val="auto"/>
          <w:szCs w:val="21"/>
          <w:highlight w:val="none"/>
        </w:rPr>
      </w:pPr>
      <w:r>
        <w:rPr>
          <w:rFonts w:hint="eastAsia"/>
          <w:color w:val="auto"/>
          <w:szCs w:val="21"/>
          <w:highlight w:val="none"/>
        </w:rPr>
        <w:t>6.设计人自备的勘察检测仪器、设备、工具</w:t>
      </w:r>
    </w:p>
    <w:p w14:paraId="5BB646DC">
      <w:pPr>
        <w:pStyle w:val="14"/>
        <w:spacing w:line="400" w:lineRule="exact"/>
        <w:ind w:left="0" w:firstLine="420" w:firstLineChars="200"/>
        <w:rPr>
          <w:color w:val="auto"/>
          <w:szCs w:val="21"/>
          <w:highlight w:val="none"/>
        </w:rPr>
      </w:pPr>
      <w:r>
        <w:rPr>
          <w:rFonts w:hint="eastAsia"/>
          <w:color w:val="auto"/>
          <w:szCs w:val="21"/>
          <w:highlight w:val="none"/>
        </w:rPr>
        <w:t>7.设计人应根据设计实际需要：</w:t>
      </w:r>
    </w:p>
    <w:p w14:paraId="619AEAD7">
      <w:pPr>
        <w:pStyle w:val="14"/>
        <w:spacing w:line="400" w:lineRule="exact"/>
        <w:ind w:left="0" w:firstLine="420" w:firstLineChars="200"/>
        <w:rPr>
          <w:color w:val="auto"/>
          <w:szCs w:val="21"/>
          <w:highlight w:val="none"/>
        </w:rPr>
      </w:pPr>
      <w:r>
        <w:rPr>
          <w:rFonts w:hint="eastAsia"/>
          <w:color w:val="auto"/>
          <w:szCs w:val="21"/>
          <w:highlight w:val="none"/>
        </w:rPr>
        <w:t>（1）自行搜集或购买全部地形图、地质图、规划图及所涉及的其他图纸或资料，自费进行工程测量、工程勘察、研究试验及有关协调（包括签订协议）、调查和资料搜集等工作；</w:t>
      </w:r>
    </w:p>
    <w:p w14:paraId="7A4BA1A4">
      <w:pPr>
        <w:pStyle w:val="14"/>
        <w:spacing w:line="400" w:lineRule="exact"/>
        <w:ind w:left="0" w:firstLine="420" w:firstLineChars="200"/>
        <w:rPr>
          <w:color w:val="auto"/>
          <w:szCs w:val="21"/>
          <w:highlight w:val="none"/>
        </w:rPr>
      </w:pPr>
      <w:r>
        <w:rPr>
          <w:rFonts w:hint="eastAsia"/>
          <w:color w:val="auto"/>
          <w:szCs w:val="21"/>
          <w:highlight w:val="none"/>
        </w:rPr>
        <w:t>（2）自行搜集或购买相关路网交通工程设施的配置资料（包括通信、监控、收费、供配电、照明等设施）；沿线供电资料；沿线管线资料；沿线气象、环境、人文景观的有关资料；相关路网的管理运营体制资料；相关路网服务设施设置情况的资料；与交通工程相关的规划资料。</w:t>
      </w:r>
    </w:p>
    <w:p w14:paraId="2561E1C6">
      <w:pPr>
        <w:pStyle w:val="14"/>
        <w:spacing w:line="400" w:lineRule="exact"/>
        <w:ind w:left="0" w:firstLine="0"/>
        <w:rPr>
          <w:rFonts w:ascii="黑体" w:hAnsi="黑体" w:eastAsia="黑体"/>
          <w:color w:val="auto"/>
          <w:szCs w:val="21"/>
          <w:highlight w:val="none"/>
        </w:rPr>
      </w:pPr>
      <w:r>
        <w:rPr>
          <w:rFonts w:hint="eastAsia" w:ascii="黑体" w:hAnsi="黑体" w:eastAsia="黑体"/>
          <w:color w:val="auto"/>
          <w:szCs w:val="21"/>
          <w:highlight w:val="none"/>
        </w:rPr>
        <w:t>七、发包人的其他要求</w:t>
      </w:r>
    </w:p>
    <w:p w14:paraId="029EAC65">
      <w:pPr>
        <w:pStyle w:val="14"/>
        <w:spacing w:line="400" w:lineRule="exact"/>
        <w:rPr>
          <w:color w:val="auto"/>
          <w:highlight w:val="none"/>
        </w:rPr>
        <w:sectPr>
          <w:headerReference r:id="rId20" w:type="even"/>
          <w:footnotePr>
            <w:numFmt w:val="decimalEnclosedCircleChinese"/>
            <w:numRestart w:val="eachPage"/>
          </w:footnotePr>
          <w:type w:val="continuous"/>
          <w:pgSz w:w="11911" w:h="16849"/>
          <w:pgMar w:top="1417" w:right="1361" w:bottom="1417" w:left="1361" w:header="850" w:footer="907" w:gutter="0"/>
          <w:cols w:space="720" w:num="1"/>
        </w:sectPr>
      </w:pPr>
      <w:r>
        <w:rPr>
          <w:color w:val="auto"/>
          <w:highlight w:val="none"/>
        </w:rPr>
        <w:t>发包人的其他要求包括</w:t>
      </w:r>
      <w:r>
        <w:rPr>
          <w:rFonts w:hint="eastAsia"/>
          <w:color w:val="auto"/>
          <w:highlight w:val="none"/>
        </w:rPr>
        <w:t>：无</w:t>
      </w:r>
    </w:p>
    <w:p w14:paraId="5A472BED">
      <w:pPr>
        <w:pStyle w:val="11"/>
        <w:framePr w:wrap="around"/>
        <w:rPr>
          <w:rFonts w:ascii="黑体"/>
          <w:b/>
          <w:color w:val="auto"/>
          <w:sz w:val="11"/>
          <w:highlight w:val="none"/>
        </w:rPr>
      </w:pPr>
    </w:p>
    <w:bookmarkEnd w:id="666"/>
    <w:p w14:paraId="25AEB256">
      <w:pPr>
        <w:pStyle w:val="14"/>
        <w:jc w:val="center"/>
        <w:rPr>
          <w:color w:val="auto"/>
          <w:highlight w:val="none"/>
        </w:rPr>
      </w:pPr>
      <w:bookmarkStart w:id="892" w:name="_Toc179632806"/>
    </w:p>
    <w:p w14:paraId="01F88510">
      <w:pPr>
        <w:pStyle w:val="14"/>
        <w:jc w:val="center"/>
        <w:rPr>
          <w:color w:val="auto"/>
          <w:highlight w:val="none"/>
        </w:rPr>
      </w:pPr>
    </w:p>
    <w:p w14:paraId="51C87F61">
      <w:pPr>
        <w:pStyle w:val="14"/>
        <w:jc w:val="center"/>
        <w:rPr>
          <w:color w:val="auto"/>
          <w:highlight w:val="none"/>
        </w:rPr>
      </w:pPr>
    </w:p>
    <w:p w14:paraId="1B3B8710">
      <w:pPr>
        <w:pStyle w:val="14"/>
        <w:jc w:val="center"/>
        <w:rPr>
          <w:color w:val="auto"/>
          <w:highlight w:val="none"/>
        </w:rPr>
      </w:pPr>
    </w:p>
    <w:p w14:paraId="1737AE8A">
      <w:pPr>
        <w:pStyle w:val="14"/>
        <w:jc w:val="center"/>
        <w:rPr>
          <w:color w:val="auto"/>
          <w:highlight w:val="none"/>
        </w:rPr>
      </w:pPr>
    </w:p>
    <w:p w14:paraId="0F00A7EE">
      <w:pPr>
        <w:pStyle w:val="14"/>
        <w:jc w:val="center"/>
        <w:rPr>
          <w:color w:val="auto"/>
          <w:highlight w:val="none"/>
        </w:rPr>
      </w:pPr>
    </w:p>
    <w:p w14:paraId="2E7DE69E">
      <w:pPr>
        <w:pStyle w:val="14"/>
        <w:jc w:val="center"/>
        <w:rPr>
          <w:color w:val="auto"/>
          <w:highlight w:val="none"/>
        </w:rPr>
      </w:pPr>
    </w:p>
    <w:p w14:paraId="71C1F4F1">
      <w:pPr>
        <w:pStyle w:val="14"/>
        <w:jc w:val="center"/>
        <w:rPr>
          <w:color w:val="auto"/>
          <w:highlight w:val="none"/>
        </w:rPr>
      </w:pPr>
    </w:p>
    <w:p w14:paraId="2BCCF7BC">
      <w:pPr>
        <w:pStyle w:val="14"/>
        <w:jc w:val="center"/>
        <w:rPr>
          <w:color w:val="auto"/>
          <w:highlight w:val="none"/>
        </w:rPr>
      </w:pPr>
    </w:p>
    <w:p w14:paraId="51297FBC">
      <w:pPr>
        <w:pStyle w:val="14"/>
        <w:jc w:val="center"/>
        <w:rPr>
          <w:color w:val="auto"/>
          <w:highlight w:val="none"/>
        </w:rPr>
      </w:pPr>
    </w:p>
    <w:p w14:paraId="1B9E8E32">
      <w:pPr>
        <w:pStyle w:val="14"/>
        <w:jc w:val="center"/>
        <w:rPr>
          <w:color w:val="auto"/>
          <w:highlight w:val="none"/>
        </w:rPr>
      </w:pPr>
    </w:p>
    <w:p w14:paraId="2F14CD09">
      <w:pPr>
        <w:pStyle w:val="14"/>
        <w:jc w:val="center"/>
        <w:rPr>
          <w:color w:val="auto"/>
          <w:highlight w:val="none"/>
        </w:rPr>
      </w:pPr>
    </w:p>
    <w:p w14:paraId="3E382E8B">
      <w:pPr>
        <w:pStyle w:val="14"/>
        <w:jc w:val="center"/>
        <w:rPr>
          <w:color w:val="auto"/>
          <w:highlight w:val="none"/>
        </w:rPr>
      </w:pPr>
    </w:p>
    <w:p w14:paraId="278B3F1B">
      <w:pPr>
        <w:pStyle w:val="14"/>
        <w:jc w:val="center"/>
        <w:rPr>
          <w:color w:val="auto"/>
          <w:highlight w:val="none"/>
        </w:rPr>
      </w:pPr>
    </w:p>
    <w:p w14:paraId="22F9D469">
      <w:pPr>
        <w:pStyle w:val="14"/>
        <w:jc w:val="center"/>
        <w:rPr>
          <w:color w:val="auto"/>
          <w:highlight w:val="none"/>
        </w:rPr>
      </w:pPr>
    </w:p>
    <w:p w14:paraId="49BE97F3">
      <w:pPr>
        <w:pStyle w:val="14"/>
        <w:jc w:val="center"/>
        <w:rPr>
          <w:color w:val="auto"/>
          <w:highlight w:val="none"/>
        </w:rPr>
      </w:pPr>
    </w:p>
    <w:p w14:paraId="0E5ABF8D">
      <w:pPr>
        <w:pStyle w:val="63"/>
        <w:spacing w:line="360" w:lineRule="auto"/>
        <w:jc w:val="center"/>
        <w:rPr>
          <w:rFonts w:ascii="黑体" w:hAnsi="黑体" w:cs="黑体"/>
          <w:b w:val="0"/>
          <w:bCs w:val="0"/>
          <w:color w:val="auto"/>
          <w:sz w:val="44"/>
          <w:szCs w:val="44"/>
          <w:highlight w:val="none"/>
        </w:rPr>
      </w:pPr>
      <w:bookmarkStart w:id="893" w:name="_Toc20126"/>
      <w:bookmarkStart w:id="894" w:name="_Toc20653"/>
      <w:bookmarkStart w:id="895" w:name="_Toc15263"/>
      <w:bookmarkStart w:id="896" w:name="_Toc1109"/>
      <w:bookmarkStart w:id="897" w:name="_Toc561"/>
      <w:bookmarkStart w:id="898" w:name="_Toc14631"/>
      <w:r>
        <w:rPr>
          <w:rFonts w:hint="eastAsia" w:ascii="黑体" w:hAnsi="黑体" w:cs="黑体"/>
          <w:b w:val="0"/>
          <w:bCs w:val="0"/>
          <w:color w:val="auto"/>
          <w:sz w:val="44"/>
          <w:szCs w:val="44"/>
          <w:highlight w:val="none"/>
        </w:rPr>
        <w:t>第六章  竞包文件格式</w:t>
      </w:r>
      <w:bookmarkEnd w:id="892"/>
      <w:r>
        <w:rPr>
          <w:rStyle w:val="41"/>
          <w:rFonts w:hint="eastAsia" w:ascii="黑体" w:hAnsi="黑体" w:cs="黑体"/>
          <w:b w:val="0"/>
          <w:bCs w:val="0"/>
          <w:color w:val="auto"/>
          <w:sz w:val="44"/>
          <w:szCs w:val="44"/>
          <w:highlight w:val="none"/>
        </w:rPr>
        <w:footnoteReference w:id="5"/>
      </w:r>
      <w:bookmarkEnd w:id="893"/>
      <w:bookmarkEnd w:id="894"/>
      <w:bookmarkEnd w:id="895"/>
      <w:bookmarkEnd w:id="896"/>
      <w:bookmarkEnd w:id="897"/>
      <w:bookmarkEnd w:id="898"/>
    </w:p>
    <w:p w14:paraId="571EF123">
      <w:pPr>
        <w:pStyle w:val="14"/>
        <w:rPr>
          <w:color w:val="auto"/>
          <w:highlight w:val="none"/>
        </w:rPr>
      </w:pPr>
    </w:p>
    <w:p w14:paraId="3A077EAF">
      <w:pPr>
        <w:pStyle w:val="14"/>
        <w:rPr>
          <w:color w:val="auto"/>
          <w:highlight w:val="none"/>
        </w:rPr>
      </w:pPr>
    </w:p>
    <w:p w14:paraId="6B133066">
      <w:pPr>
        <w:pStyle w:val="14"/>
        <w:rPr>
          <w:color w:val="auto"/>
          <w:highlight w:val="none"/>
        </w:rPr>
      </w:pPr>
    </w:p>
    <w:p w14:paraId="09BC6E50">
      <w:pPr>
        <w:pStyle w:val="14"/>
        <w:spacing w:line="400" w:lineRule="exact"/>
        <w:jc w:val="center"/>
        <w:rPr>
          <w:color w:val="auto"/>
          <w:highlight w:val="none"/>
        </w:rPr>
        <w:sectPr>
          <w:footnotePr>
            <w:numFmt w:val="decimalEnclosedCircleChinese"/>
            <w:numRestart w:val="eachPage"/>
          </w:footnotePr>
          <w:pgSz w:w="11911" w:h="16849"/>
          <w:pgMar w:top="1417" w:right="1361" w:bottom="1417" w:left="1361" w:header="850" w:footer="907" w:gutter="0"/>
          <w:cols w:space="720" w:num="1"/>
          <w:docGrid w:linePitch="312" w:charSpace="0"/>
        </w:sectPr>
      </w:pPr>
    </w:p>
    <w:p w14:paraId="471D5BF7">
      <w:pPr>
        <w:pStyle w:val="14"/>
        <w:spacing w:line="400" w:lineRule="exact"/>
        <w:jc w:val="center"/>
        <w:rPr>
          <w:color w:val="auto"/>
          <w:highlight w:val="none"/>
        </w:rPr>
      </w:pPr>
      <w:bookmarkStart w:id="899" w:name="_Hlk42506820"/>
    </w:p>
    <w:p w14:paraId="01BDBDDF">
      <w:pPr>
        <w:pStyle w:val="14"/>
        <w:spacing w:line="400" w:lineRule="exact"/>
        <w:jc w:val="center"/>
        <w:rPr>
          <w:color w:val="auto"/>
          <w:highlight w:val="none"/>
        </w:rPr>
      </w:pPr>
    </w:p>
    <w:p w14:paraId="7554873D">
      <w:pPr>
        <w:pStyle w:val="14"/>
        <w:spacing w:line="400" w:lineRule="exact"/>
        <w:jc w:val="center"/>
        <w:rPr>
          <w:rFonts w:ascii="黑体" w:hAnsi="黑体" w:eastAsia="黑体"/>
          <w:color w:val="auto"/>
          <w:sz w:val="36"/>
          <w:szCs w:val="36"/>
          <w:highlight w:val="none"/>
        </w:rPr>
      </w:pPr>
      <w:r>
        <w:rPr>
          <w:rFonts w:hint="eastAsia" w:eastAsia="黑体"/>
          <w:color w:val="auto"/>
          <w:sz w:val="36"/>
          <w:szCs w:val="36"/>
          <w:highlight w:val="none"/>
        </w:rPr>
        <w:t>浙江省</w:t>
      </w:r>
    </w:p>
    <w:p w14:paraId="13C67354">
      <w:pPr>
        <w:pStyle w:val="14"/>
        <w:spacing w:line="400" w:lineRule="exact"/>
        <w:jc w:val="center"/>
        <w:rPr>
          <w:rFonts w:ascii="黑体" w:hAnsi="黑体" w:eastAsia="黑体"/>
          <w:color w:val="auto"/>
          <w:sz w:val="36"/>
          <w:szCs w:val="36"/>
          <w:highlight w:val="none"/>
        </w:rPr>
      </w:pPr>
    </w:p>
    <w:p w14:paraId="7A8C8FB8">
      <w:pPr>
        <w:pStyle w:val="14"/>
        <w:jc w:val="center"/>
        <w:rPr>
          <w:rFonts w:eastAsia="黑体"/>
          <w:color w:val="auto"/>
          <w:sz w:val="36"/>
          <w:szCs w:val="36"/>
          <w:highlight w:val="none"/>
        </w:rPr>
      </w:pPr>
      <w:r>
        <w:rPr>
          <w:rFonts w:hint="eastAsia" w:eastAsia="黑体"/>
          <w:color w:val="auto"/>
          <w:sz w:val="36"/>
          <w:szCs w:val="36"/>
          <w:highlight w:val="none"/>
          <w:u w:val="single"/>
        </w:rPr>
        <w:t xml:space="preserve">            </w:t>
      </w:r>
      <w:r>
        <w:rPr>
          <w:rFonts w:eastAsia="黑体"/>
          <w:color w:val="auto"/>
          <w:sz w:val="36"/>
          <w:szCs w:val="36"/>
          <w:highlight w:val="none"/>
        </w:rPr>
        <w:t>（项目名称）</w:t>
      </w:r>
      <w:r>
        <w:rPr>
          <w:rFonts w:eastAsia="黑体"/>
          <w:color w:val="auto"/>
          <w:sz w:val="36"/>
          <w:szCs w:val="36"/>
          <w:highlight w:val="none"/>
          <w:u w:val="single"/>
        </w:rPr>
        <w:t xml:space="preserve">   </w:t>
      </w:r>
      <w:r>
        <w:rPr>
          <w:rFonts w:eastAsia="黑体"/>
          <w:color w:val="auto"/>
          <w:sz w:val="36"/>
          <w:szCs w:val="36"/>
          <w:highlight w:val="none"/>
        </w:rPr>
        <w:t>标段</w:t>
      </w:r>
      <w:r>
        <w:rPr>
          <w:rFonts w:hint="eastAsia" w:eastAsia="黑体"/>
          <w:color w:val="auto"/>
          <w:sz w:val="36"/>
          <w:szCs w:val="36"/>
          <w:highlight w:val="none"/>
        </w:rPr>
        <w:t>设计发包</w:t>
      </w:r>
    </w:p>
    <w:p w14:paraId="60B48B6A">
      <w:pPr>
        <w:pStyle w:val="14"/>
        <w:spacing w:line="460" w:lineRule="exact"/>
        <w:rPr>
          <w:rFonts w:eastAsia="黑体"/>
          <w:color w:val="auto"/>
          <w:sz w:val="20"/>
          <w:szCs w:val="20"/>
          <w:highlight w:val="none"/>
        </w:rPr>
      </w:pPr>
    </w:p>
    <w:p w14:paraId="1A67AF9F">
      <w:pPr>
        <w:pStyle w:val="14"/>
        <w:spacing w:line="460" w:lineRule="exact"/>
        <w:rPr>
          <w:rFonts w:eastAsia="黑体"/>
          <w:color w:val="auto"/>
          <w:sz w:val="20"/>
          <w:szCs w:val="20"/>
          <w:highlight w:val="none"/>
        </w:rPr>
      </w:pPr>
    </w:p>
    <w:p w14:paraId="56A72654">
      <w:pPr>
        <w:pStyle w:val="14"/>
        <w:spacing w:line="460" w:lineRule="exact"/>
        <w:rPr>
          <w:rFonts w:eastAsia="黑体"/>
          <w:color w:val="auto"/>
          <w:sz w:val="20"/>
          <w:szCs w:val="20"/>
          <w:highlight w:val="none"/>
        </w:rPr>
      </w:pPr>
    </w:p>
    <w:p w14:paraId="052E9496">
      <w:pPr>
        <w:pStyle w:val="14"/>
        <w:spacing w:line="460" w:lineRule="exact"/>
        <w:rPr>
          <w:rFonts w:eastAsia="黑体"/>
          <w:color w:val="auto"/>
          <w:sz w:val="20"/>
          <w:szCs w:val="20"/>
          <w:highlight w:val="none"/>
        </w:rPr>
      </w:pPr>
    </w:p>
    <w:p w14:paraId="01FD4368">
      <w:pPr>
        <w:pStyle w:val="14"/>
        <w:spacing w:line="460" w:lineRule="exact"/>
        <w:rPr>
          <w:rFonts w:eastAsia="黑体"/>
          <w:color w:val="auto"/>
          <w:sz w:val="20"/>
          <w:szCs w:val="20"/>
          <w:highlight w:val="none"/>
        </w:rPr>
      </w:pPr>
    </w:p>
    <w:p w14:paraId="2A322608">
      <w:pPr>
        <w:pStyle w:val="14"/>
        <w:spacing w:line="900" w:lineRule="exact"/>
        <w:jc w:val="center"/>
        <w:rPr>
          <w:rFonts w:eastAsia="黑体"/>
          <w:color w:val="auto"/>
          <w:sz w:val="72"/>
          <w:szCs w:val="72"/>
          <w:highlight w:val="none"/>
        </w:rPr>
      </w:pPr>
      <w:r>
        <w:rPr>
          <w:rFonts w:hint="eastAsia" w:eastAsia="黑体"/>
          <w:color w:val="auto"/>
          <w:sz w:val="72"/>
          <w:szCs w:val="72"/>
          <w:highlight w:val="none"/>
        </w:rPr>
        <w:t>竞 包</w:t>
      </w:r>
      <w:r>
        <w:rPr>
          <w:rFonts w:eastAsia="黑体"/>
          <w:color w:val="auto"/>
          <w:sz w:val="72"/>
          <w:szCs w:val="72"/>
          <w:highlight w:val="none"/>
        </w:rPr>
        <w:t xml:space="preserve"> 文 件</w:t>
      </w:r>
    </w:p>
    <w:p w14:paraId="7A250B40">
      <w:pPr>
        <w:pStyle w:val="14"/>
        <w:rPr>
          <w:rFonts w:eastAsia="黑体"/>
          <w:color w:val="auto"/>
          <w:sz w:val="28"/>
          <w:szCs w:val="28"/>
          <w:highlight w:val="none"/>
        </w:rPr>
      </w:pPr>
    </w:p>
    <w:p w14:paraId="0A535425">
      <w:pPr>
        <w:pStyle w:val="62"/>
        <w:jc w:val="center"/>
        <w:rPr>
          <w:color w:val="auto"/>
          <w:sz w:val="44"/>
          <w:szCs w:val="44"/>
          <w:highlight w:val="none"/>
        </w:rPr>
      </w:pPr>
      <w:bookmarkStart w:id="900" w:name="_Toc15542"/>
      <w:bookmarkStart w:id="901" w:name="_Toc24777"/>
      <w:bookmarkStart w:id="902" w:name="_Toc3377"/>
      <w:bookmarkStart w:id="903" w:name="_Toc4217"/>
      <w:bookmarkStart w:id="904" w:name="_Toc21762"/>
      <w:bookmarkStart w:id="905" w:name="_Toc25821"/>
      <w:r>
        <w:rPr>
          <w:rFonts w:hint="eastAsia"/>
          <w:color w:val="auto"/>
          <w:sz w:val="44"/>
          <w:szCs w:val="44"/>
          <w:highlight w:val="none"/>
        </w:rPr>
        <w:t>（商务文件）</w:t>
      </w:r>
      <w:bookmarkEnd w:id="900"/>
      <w:bookmarkEnd w:id="901"/>
      <w:bookmarkEnd w:id="902"/>
      <w:bookmarkEnd w:id="903"/>
      <w:bookmarkEnd w:id="904"/>
      <w:bookmarkEnd w:id="905"/>
    </w:p>
    <w:p w14:paraId="25E6FEE4">
      <w:pPr>
        <w:pStyle w:val="14"/>
        <w:spacing w:line="460" w:lineRule="exact"/>
        <w:rPr>
          <w:rFonts w:eastAsia="黑体"/>
          <w:color w:val="auto"/>
          <w:sz w:val="28"/>
          <w:szCs w:val="28"/>
          <w:highlight w:val="none"/>
        </w:rPr>
      </w:pPr>
    </w:p>
    <w:p w14:paraId="4E1B06E3">
      <w:pPr>
        <w:pStyle w:val="14"/>
        <w:spacing w:line="460" w:lineRule="exact"/>
        <w:rPr>
          <w:rFonts w:eastAsia="黑体"/>
          <w:color w:val="auto"/>
          <w:sz w:val="28"/>
          <w:szCs w:val="28"/>
          <w:highlight w:val="none"/>
        </w:rPr>
      </w:pPr>
    </w:p>
    <w:p w14:paraId="41850D9A">
      <w:pPr>
        <w:pStyle w:val="14"/>
        <w:spacing w:line="460" w:lineRule="exact"/>
        <w:rPr>
          <w:rFonts w:eastAsia="黑体"/>
          <w:color w:val="auto"/>
          <w:sz w:val="28"/>
          <w:szCs w:val="28"/>
          <w:highlight w:val="none"/>
        </w:rPr>
      </w:pPr>
    </w:p>
    <w:p w14:paraId="7A71C2B3">
      <w:pPr>
        <w:pStyle w:val="14"/>
        <w:spacing w:line="460" w:lineRule="exact"/>
        <w:rPr>
          <w:rFonts w:eastAsia="黑体"/>
          <w:color w:val="auto"/>
          <w:sz w:val="28"/>
          <w:szCs w:val="28"/>
          <w:highlight w:val="none"/>
        </w:rPr>
      </w:pPr>
    </w:p>
    <w:p w14:paraId="5411A945">
      <w:pPr>
        <w:pStyle w:val="14"/>
        <w:spacing w:line="460" w:lineRule="exact"/>
        <w:rPr>
          <w:rFonts w:eastAsia="黑体"/>
          <w:color w:val="auto"/>
          <w:sz w:val="28"/>
          <w:szCs w:val="28"/>
          <w:highlight w:val="none"/>
        </w:rPr>
      </w:pPr>
    </w:p>
    <w:p w14:paraId="71D46DB3">
      <w:pPr>
        <w:pStyle w:val="14"/>
        <w:spacing w:line="460" w:lineRule="exact"/>
        <w:rPr>
          <w:rFonts w:eastAsia="黑体"/>
          <w:color w:val="auto"/>
          <w:sz w:val="28"/>
          <w:szCs w:val="28"/>
          <w:highlight w:val="none"/>
        </w:rPr>
      </w:pPr>
    </w:p>
    <w:p w14:paraId="1C8FF4EC">
      <w:pPr>
        <w:pStyle w:val="14"/>
        <w:spacing w:line="460" w:lineRule="exact"/>
        <w:rPr>
          <w:rFonts w:eastAsia="黑体"/>
          <w:color w:val="auto"/>
          <w:sz w:val="28"/>
          <w:szCs w:val="28"/>
          <w:highlight w:val="none"/>
        </w:rPr>
      </w:pPr>
    </w:p>
    <w:p w14:paraId="02336923">
      <w:pPr>
        <w:pStyle w:val="14"/>
        <w:spacing w:line="480" w:lineRule="auto"/>
        <w:jc w:val="center"/>
        <w:rPr>
          <w:rFonts w:eastAsia="黑体"/>
          <w:color w:val="auto"/>
          <w:sz w:val="28"/>
          <w:szCs w:val="28"/>
          <w:highlight w:val="none"/>
          <w:u w:val="single"/>
        </w:rPr>
      </w:pPr>
      <w:r>
        <w:rPr>
          <w:rFonts w:hint="eastAsia" w:eastAsia="黑体"/>
          <w:color w:val="auto"/>
          <w:sz w:val="28"/>
          <w:szCs w:val="28"/>
          <w:highlight w:val="none"/>
        </w:rPr>
        <w:t>竞包</w:t>
      </w:r>
      <w:r>
        <w:rPr>
          <w:rFonts w:eastAsia="黑体"/>
          <w:color w:val="auto"/>
          <w:sz w:val="28"/>
          <w:szCs w:val="28"/>
          <w:highlight w:val="none"/>
        </w:rPr>
        <w:t>人：</w:t>
      </w:r>
      <w:r>
        <w:rPr>
          <w:rFonts w:eastAsia="黑体"/>
          <w:color w:val="auto"/>
          <w:sz w:val="28"/>
          <w:szCs w:val="28"/>
          <w:highlight w:val="none"/>
          <w:u w:val="single"/>
        </w:rPr>
        <w:t xml:space="preserve">                         </w:t>
      </w:r>
      <w:r>
        <w:rPr>
          <w:rFonts w:eastAsia="黑体"/>
          <w:color w:val="auto"/>
          <w:sz w:val="28"/>
          <w:szCs w:val="28"/>
          <w:highlight w:val="none"/>
        </w:rPr>
        <w:t>（</w:t>
      </w:r>
      <w:r>
        <w:rPr>
          <w:rFonts w:hint="eastAsia" w:eastAsia="黑体"/>
          <w:color w:val="auto"/>
          <w:sz w:val="28"/>
          <w:szCs w:val="28"/>
          <w:highlight w:val="none"/>
        </w:rPr>
        <w:t>盖单位印章</w:t>
      </w:r>
      <w:r>
        <w:rPr>
          <w:rFonts w:eastAsia="黑体"/>
          <w:color w:val="auto"/>
          <w:sz w:val="28"/>
          <w:szCs w:val="28"/>
          <w:highlight w:val="none"/>
        </w:rPr>
        <w:t>）</w:t>
      </w:r>
    </w:p>
    <w:p w14:paraId="406AA257">
      <w:pPr>
        <w:pStyle w:val="14"/>
        <w:spacing w:line="480" w:lineRule="auto"/>
        <w:jc w:val="center"/>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48E541F9">
      <w:pPr>
        <w:pStyle w:val="14"/>
        <w:jc w:val="center"/>
        <w:rPr>
          <w:color w:val="auto"/>
          <w:szCs w:val="28"/>
          <w:highlight w:val="none"/>
        </w:rPr>
      </w:pPr>
      <w:r>
        <w:rPr>
          <w:color w:val="auto"/>
          <w:szCs w:val="28"/>
          <w:highlight w:val="none"/>
        </w:rPr>
        <w:br w:type="page"/>
      </w:r>
      <w:bookmarkStart w:id="906" w:name="_Toc152045787"/>
      <w:bookmarkStart w:id="907" w:name="_Toc152042576"/>
      <w:bookmarkStart w:id="908" w:name="_Toc144974856"/>
      <w:bookmarkStart w:id="909" w:name="_Toc179632807"/>
    </w:p>
    <w:p w14:paraId="33D3B701">
      <w:pPr>
        <w:pStyle w:val="62"/>
        <w:jc w:val="center"/>
        <w:rPr>
          <w:color w:val="auto"/>
          <w:sz w:val="30"/>
          <w:szCs w:val="30"/>
          <w:highlight w:val="none"/>
        </w:rPr>
      </w:pPr>
      <w:bookmarkStart w:id="910" w:name="_Toc7455"/>
      <w:bookmarkStart w:id="911" w:name="_Toc9520"/>
      <w:bookmarkStart w:id="912" w:name="_Toc25226"/>
      <w:bookmarkStart w:id="913" w:name="_Toc13760"/>
      <w:bookmarkStart w:id="914" w:name="_Toc28775"/>
      <w:bookmarkStart w:id="915" w:name="_Toc17156"/>
      <w:r>
        <w:rPr>
          <w:rFonts w:hint="eastAsia"/>
          <w:color w:val="auto"/>
          <w:sz w:val="30"/>
          <w:szCs w:val="30"/>
          <w:highlight w:val="none"/>
        </w:rPr>
        <w:t>目    录</w:t>
      </w:r>
      <w:bookmarkEnd w:id="906"/>
      <w:bookmarkEnd w:id="907"/>
      <w:bookmarkEnd w:id="908"/>
      <w:bookmarkEnd w:id="909"/>
      <w:bookmarkEnd w:id="910"/>
      <w:bookmarkEnd w:id="911"/>
      <w:bookmarkEnd w:id="912"/>
      <w:bookmarkEnd w:id="913"/>
      <w:bookmarkEnd w:id="914"/>
      <w:bookmarkEnd w:id="915"/>
    </w:p>
    <w:p w14:paraId="69647101">
      <w:pPr>
        <w:pStyle w:val="14"/>
        <w:spacing w:line="540" w:lineRule="exact"/>
        <w:rPr>
          <w:color w:val="auto"/>
          <w:highlight w:val="none"/>
        </w:rPr>
      </w:pPr>
    </w:p>
    <w:p w14:paraId="0072DA6E">
      <w:pPr>
        <w:pStyle w:val="14"/>
        <w:spacing w:line="540" w:lineRule="exact"/>
        <w:ind w:left="2387" w:leftChars="810"/>
        <w:rPr>
          <w:color w:val="auto"/>
          <w:highlight w:val="none"/>
        </w:rPr>
      </w:pPr>
      <w:r>
        <w:rPr>
          <w:rFonts w:hint="eastAsia"/>
          <w:color w:val="auto"/>
          <w:highlight w:val="none"/>
        </w:rPr>
        <w:t>一、竞包函</w:t>
      </w:r>
    </w:p>
    <w:p w14:paraId="5D3B5B1B">
      <w:pPr>
        <w:pStyle w:val="14"/>
        <w:spacing w:line="540" w:lineRule="exact"/>
        <w:ind w:left="2387" w:leftChars="810"/>
        <w:rPr>
          <w:color w:val="auto"/>
          <w:highlight w:val="none"/>
        </w:rPr>
      </w:pPr>
      <w:r>
        <w:rPr>
          <w:rFonts w:hint="eastAsia"/>
          <w:color w:val="auto"/>
          <w:highlight w:val="none"/>
        </w:rPr>
        <w:t>二、授权委托书或法定代表人身份证明</w:t>
      </w:r>
    </w:p>
    <w:p w14:paraId="50B530DE">
      <w:pPr>
        <w:pStyle w:val="14"/>
        <w:spacing w:line="540" w:lineRule="exact"/>
        <w:ind w:left="2387" w:leftChars="810"/>
        <w:rPr>
          <w:color w:val="auto"/>
          <w:highlight w:val="none"/>
        </w:rPr>
      </w:pPr>
      <w:r>
        <w:rPr>
          <w:rFonts w:hint="eastAsia"/>
          <w:color w:val="auto"/>
          <w:highlight w:val="none"/>
        </w:rPr>
        <w:t>三、联合体协议书</w:t>
      </w:r>
    </w:p>
    <w:p w14:paraId="005C689F">
      <w:pPr>
        <w:pStyle w:val="14"/>
        <w:spacing w:line="540" w:lineRule="exact"/>
        <w:ind w:left="2387" w:leftChars="810"/>
        <w:rPr>
          <w:color w:val="auto"/>
          <w:highlight w:val="none"/>
        </w:rPr>
      </w:pPr>
      <w:r>
        <w:rPr>
          <w:rFonts w:hint="eastAsia"/>
          <w:color w:val="auto"/>
          <w:highlight w:val="none"/>
        </w:rPr>
        <w:t>四、竞包保证金</w:t>
      </w:r>
    </w:p>
    <w:p w14:paraId="79BF2BD2">
      <w:pPr>
        <w:pStyle w:val="14"/>
        <w:spacing w:line="540" w:lineRule="exact"/>
        <w:ind w:left="2387" w:leftChars="810"/>
        <w:rPr>
          <w:color w:val="auto"/>
          <w:highlight w:val="none"/>
        </w:rPr>
      </w:pPr>
      <w:r>
        <w:rPr>
          <w:rFonts w:hint="eastAsia"/>
          <w:color w:val="auto"/>
          <w:highlight w:val="none"/>
        </w:rPr>
        <w:t>五、拟分包项目情况表</w:t>
      </w:r>
    </w:p>
    <w:p w14:paraId="2838EF7F">
      <w:pPr>
        <w:pStyle w:val="14"/>
        <w:spacing w:line="540" w:lineRule="exact"/>
        <w:ind w:left="2387" w:leftChars="810"/>
        <w:rPr>
          <w:color w:val="auto"/>
          <w:highlight w:val="none"/>
        </w:rPr>
      </w:pPr>
      <w:r>
        <w:rPr>
          <w:rFonts w:hint="eastAsia"/>
          <w:color w:val="auto"/>
          <w:highlight w:val="none"/>
        </w:rPr>
        <w:t>六、资格审查表</w:t>
      </w:r>
    </w:p>
    <w:p w14:paraId="1D0FB671">
      <w:pPr>
        <w:pStyle w:val="14"/>
        <w:spacing w:line="540" w:lineRule="exact"/>
        <w:ind w:left="2387" w:leftChars="810"/>
        <w:rPr>
          <w:color w:val="auto"/>
          <w:highlight w:val="none"/>
        </w:rPr>
      </w:pPr>
      <w:r>
        <w:rPr>
          <w:rFonts w:hint="eastAsia"/>
          <w:color w:val="auto"/>
          <w:highlight w:val="none"/>
        </w:rPr>
        <w:t>七、承诺函</w:t>
      </w:r>
    </w:p>
    <w:p w14:paraId="33726EB4">
      <w:pPr>
        <w:pStyle w:val="14"/>
        <w:spacing w:line="540" w:lineRule="exact"/>
        <w:ind w:left="2387" w:leftChars="810"/>
        <w:rPr>
          <w:color w:val="auto"/>
          <w:highlight w:val="none"/>
        </w:rPr>
      </w:pPr>
      <w:r>
        <w:rPr>
          <w:rFonts w:hint="eastAsia"/>
          <w:color w:val="auto"/>
          <w:highlight w:val="none"/>
        </w:rPr>
        <w:t>八、其他材料</w:t>
      </w:r>
    </w:p>
    <w:bookmarkEnd w:id="899"/>
    <w:p w14:paraId="1E7F2DE1">
      <w:pPr>
        <w:pStyle w:val="14"/>
        <w:spacing w:line="440" w:lineRule="exact"/>
        <w:rPr>
          <w:rFonts w:eastAsia="黑体"/>
          <w:color w:val="auto"/>
          <w:sz w:val="20"/>
          <w:szCs w:val="20"/>
          <w:highlight w:val="none"/>
        </w:rPr>
      </w:pPr>
    </w:p>
    <w:p w14:paraId="2DF18062">
      <w:pPr>
        <w:pStyle w:val="14"/>
        <w:spacing w:line="400" w:lineRule="exact"/>
        <w:rPr>
          <w:color w:val="auto"/>
          <w:highlight w:val="none"/>
        </w:rPr>
      </w:pPr>
      <w:r>
        <w:rPr>
          <w:color w:val="auto"/>
          <w:highlight w:val="none"/>
        </w:rPr>
        <w:br w:type="page"/>
      </w:r>
    </w:p>
    <w:p w14:paraId="156BB79E">
      <w:pPr>
        <w:pStyle w:val="62"/>
        <w:jc w:val="center"/>
        <w:rPr>
          <w:color w:val="auto"/>
          <w:sz w:val="30"/>
          <w:szCs w:val="30"/>
          <w:highlight w:val="none"/>
        </w:rPr>
      </w:pPr>
      <w:bookmarkStart w:id="916" w:name="_Toc5734"/>
      <w:bookmarkStart w:id="917" w:name="_Toc21335"/>
      <w:bookmarkStart w:id="918" w:name="_Toc1288"/>
      <w:bookmarkStart w:id="919" w:name="_Toc22978"/>
      <w:bookmarkStart w:id="920" w:name="_Toc2893"/>
      <w:bookmarkStart w:id="921" w:name="_Toc11828"/>
      <w:r>
        <w:rPr>
          <w:color w:val="auto"/>
          <w:sz w:val="30"/>
          <w:szCs w:val="30"/>
          <w:highlight w:val="none"/>
        </w:rPr>
        <w:t>一、</w:t>
      </w:r>
      <w:r>
        <w:rPr>
          <w:rFonts w:hint="eastAsia"/>
          <w:color w:val="auto"/>
          <w:sz w:val="30"/>
          <w:szCs w:val="30"/>
          <w:highlight w:val="none"/>
        </w:rPr>
        <w:t>竞包</w:t>
      </w:r>
      <w:r>
        <w:rPr>
          <w:color w:val="auto"/>
          <w:sz w:val="30"/>
          <w:szCs w:val="30"/>
          <w:highlight w:val="none"/>
        </w:rPr>
        <w:t>函</w:t>
      </w:r>
      <w:bookmarkEnd w:id="916"/>
      <w:bookmarkEnd w:id="917"/>
      <w:bookmarkEnd w:id="918"/>
      <w:bookmarkEnd w:id="919"/>
      <w:bookmarkEnd w:id="920"/>
      <w:bookmarkEnd w:id="921"/>
    </w:p>
    <w:p w14:paraId="7568EE53">
      <w:pPr>
        <w:pStyle w:val="14"/>
        <w:spacing w:line="360" w:lineRule="exact"/>
        <w:rPr>
          <w:color w:val="auto"/>
          <w:szCs w:val="21"/>
          <w:highlight w:val="none"/>
        </w:rPr>
      </w:pP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发包</w:t>
      </w:r>
      <w:r>
        <w:rPr>
          <w:color w:val="auto"/>
          <w:szCs w:val="21"/>
          <w:highlight w:val="none"/>
        </w:rPr>
        <w:t>人</w:t>
      </w:r>
      <w:r>
        <w:rPr>
          <w:rFonts w:hint="eastAsia"/>
          <w:color w:val="auto"/>
          <w:szCs w:val="21"/>
          <w:highlight w:val="none"/>
        </w:rPr>
        <w:t>全</w:t>
      </w:r>
      <w:r>
        <w:rPr>
          <w:color w:val="auto"/>
          <w:szCs w:val="21"/>
          <w:highlight w:val="none"/>
        </w:rPr>
        <w:t>称）：</w:t>
      </w:r>
    </w:p>
    <w:p w14:paraId="4F382D40">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0"/>
          <w:highlight w:val="none"/>
        </w:rPr>
        <w:t>.</w:t>
      </w:r>
      <w:r>
        <w:rPr>
          <w:rFonts w:hint="eastAsia" w:ascii="宋体" w:hAnsi="宋体"/>
          <w:color w:val="auto"/>
          <w:szCs w:val="21"/>
          <w:highlight w:val="none"/>
        </w:rPr>
        <w:t xml:space="preserve"> 我方已</w:t>
      </w:r>
      <w:r>
        <w:rPr>
          <w:rFonts w:ascii="宋体" w:hAnsi="宋体"/>
          <w:color w:val="auto"/>
          <w:szCs w:val="21"/>
          <w:highlight w:val="none"/>
        </w:rPr>
        <w:t>仔细</w:t>
      </w:r>
      <w:r>
        <w:rPr>
          <w:rFonts w:hint="eastAsia" w:ascii="宋体" w:hAnsi="宋体"/>
          <w:color w:val="auto"/>
          <w:szCs w:val="21"/>
          <w:highlight w:val="none"/>
        </w:rPr>
        <w:t>研究</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（项目名称）</w:t>
      </w:r>
      <w:r>
        <w:rPr>
          <w:rFonts w:ascii="宋体" w:hAnsi="宋体"/>
          <w:color w:val="auto"/>
          <w:szCs w:val="21"/>
          <w:highlight w:val="none"/>
          <w:u w:val="single"/>
        </w:rPr>
        <w:t xml:space="preserve">         </w:t>
      </w:r>
      <w:r>
        <w:rPr>
          <w:rFonts w:hint="eastAsia" w:ascii="宋体" w:hAnsi="宋体"/>
          <w:color w:val="auto"/>
          <w:szCs w:val="21"/>
          <w:highlight w:val="none"/>
        </w:rPr>
        <w:t>标段设计发包文件的全部内容（含补遗书第</w:t>
      </w:r>
      <w:r>
        <w:rPr>
          <w:color w:val="auto"/>
          <w:szCs w:val="21"/>
          <w:highlight w:val="none"/>
          <w:u w:val="single"/>
        </w:rPr>
        <w:t xml:space="preserve"> </w:t>
      </w:r>
      <w:r>
        <w:rPr>
          <w:rFonts w:hint="eastAsia"/>
          <w:color w:val="auto"/>
          <w:szCs w:val="21"/>
          <w:highlight w:val="none"/>
          <w:u w:val="single"/>
        </w:rPr>
        <w:t xml:space="preserve">   </w:t>
      </w:r>
      <w:r>
        <w:rPr>
          <w:rFonts w:hint="eastAsia" w:ascii="宋体" w:hAnsi="宋体"/>
          <w:color w:val="auto"/>
          <w:szCs w:val="21"/>
          <w:highlight w:val="none"/>
        </w:rPr>
        <w:t>号至第</w:t>
      </w:r>
      <w:r>
        <w:rPr>
          <w:color w:val="auto"/>
          <w:szCs w:val="21"/>
          <w:highlight w:val="none"/>
          <w:u w:val="single"/>
        </w:rPr>
        <w:t xml:space="preserve"> </w:t>
      </w:r>
      <w:r>
        <w:rPr>
          <w:rFonts w:hint="eastAsia"/>
          <w:color w:val="auto"/>
          <w:szCs w:val="21"/>
          <w:highlight w:val="none"/>
          <w:u w:val="single"/>
        </w:rPr>
        <w:t xml:space="preserve">   </w:t>
      </w:r>
      <w:r>
        <w:rPr>
          <w:rFonts w:hint="eastAsia" w:ascii="宋体" w:hAnsi="宋体"/>
          <w:color w:val="auto"/>
          <w:szCs w:val="21"/>
          <w:highlight w:val="none"/>
        </w:rPr>
        <w:t>号）后，</w:t>
      </w:r>
      <w:r>
        <w:rPr>
          <w:rFonts w:ascii="宋体" w:hAnsi="宋体"/>
          <w:color w:val="auto"/>
          <w:szCs w:val="21"/>
          <w:highlight w:val="none"/>
        </w:rPr>
        <w:t>在考察工程现场后，愿意以第二个信封（报价文件）中的</w:t>
      </w:r>
      <w:r>
        <w:rPr>
          <w:rFonts w:hint="eastAsia" w:ascii="宋体" w:hAnsi="宋体"/>
          <w:color w:val="auto"/>
          <w:szCs w:val="21"/>
          <w:highlight w:val="none"/>
        </w:rPr>
        <w:t>竞包</w:t>
      </w:r>
      <w:r>
        <w:rPr>
          <w:rFonts w:ascii="宋体" w:hAnsi="宋体"/>
          <w:color w:val="auto"/>
          <w:szCs w:val="21"/>
          <w:highlight w:val="none"/>
        </w:rPr>
        <w:t>总报价（或根据</w:t>
      </w:r>
      <w:r>
        <w:rPr>
          <w:rFonts w:hint="eastAsia" w:ascii="宋体" w:hAnsi="宋体"/>
          <w:color w:val="auto"/>
          <w:szCs w:val="21"/>
          <w:highlight w:val="none"/>
        </w:rPr>
        <w:t>发包</w:t>
      </w:r>
      <w:r>
        <w:rPr>
          <w:rFonts w:ascii="宋体" w:hAnsi="宋体"/>
          <w:color w:val="auto"/>
          <w:szCs w:val="21"/>
          <w:highlight w:val="none"/>
        </w:rPr>
        <w:t>文件规定修正核实后确定的另一金额），按合同约定完成</w:t>
      </w:r>
      <w:r>
        <w:rPr>
          <w:rFonts w:hint="eastAsia" w:ascii="宋体" w:hAnsi="宋体"/>
          <w:color w:val="auto"/>
          <w:szCs w:val="21"/>
          <w:highlight w:val="none"/>
        </w:rPr>
        <w:t>设计</w:t>
      </w:r>
      <w:r>
        <w:rPr>
          <w:rFonts w:ascii="宋体" w:hAnsi="宋体"/>
          <w:color w:val="auto"/>
          <w:szCs w:val="21"/>
          <w:highlight w:val="none"/>
        </w:rPr>
        <w:t>工作</w:t>
      </w:r>
      <w:r>
        <w:rPr>
          <w:rFonts w:hint="eastAsia" w:ascii="宋体" w:hAnsi="宋体"/>
          <w:color w:val="auto"/>
          <w:szCs w:val="21"/>
          <w:highlight w:val="none"/>
        </w:rPr>
        <w:t>。</w:t>
      </w:r>
    </w:p>
    <w:p w14:paraId="0BB10777">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0"/>
          <w:highlight w:val="none"/>
        </w:rPr>
        <w:t>.</w:t>
      </w:r>
      <w:r>
        <w:rPr>
          <w:rFonts w:hint="eastAsia" w:ascii="宋体" w:hAnsi="宋体"/>
          <w:color w:val="auto"/>
          <w:szCs w:val="21"/>
          <w:highlight w:val="none"/>
        </w:rPr>
        <w:t xml:space="preserve"> </w:t>
      </w:r>
      <w:r>
        <w:rPr>
          <w:rFonts w:ascii="宋体" w:hAnsi="宋体"/>
          <w:color w:val="auto"/>
          <w:szCs w:val="21"/>
          <w:highlight w:val="none"/>
        </w:rPr>
        <w:t>我方承诺在</w:t>
      </w:r>
      <w:r>
        <w:rPr>
          <w:rFonts w:hint="eastAsia" w:ascii="宋体" w:hAnsi="宋体"/>
          <w:color w:val="auto"/>
          <w:szCs w:val="21"/>
          <w:highlight w:val="none"/>
        </w:rPr>
        <w:t>发包</w:t>
      </w:r>
      <w:r>
        <w:rPr>
          <w:rFonts w:ascii="宋体" w:hAnsi="宋体"/>
          <w:color w:val="auto"/>
          <w:szCs w:val="21"/>
          <w:highlight w:val="none"/>
        </w:rPr>
        <w:t>文件规定的</w:t>
      </w:r>
      <w:r>
        <w:rPr>
          <w:rFonts w:hint="eastAsia" w:ascii="宋体" w:hAnsi="宋体"/>
          <w:color w:val="auto"/>
          <w:szCs w:val="21"/>
          <w:highlight w:val="none"/>
        </w:rPr>
        <w:t>竞包</w:t>
      </w:r>
      <w:r>
        <w:rPr>
          <w:rFonts w:ascii="宋体" w:hAnsi="宋体"/>
          <w:color w:val="auto"/>
          <w:szCs w:val="21"/>
          <w:highlight w:val="none"/>
        </w:rPr>
        <w:t>有效期内不撤销</w:t>
      </w:r>
      <w:r>
        <w:rPr>
          <w:rFonts w:hint="eastAsia" w:ascii="宋体" w:hAnsi="宋体"/>
          <w:color w:val="auto"/>
          <w:szCs w:val="21"/>
          <w:highlight w:val="none"/>
        </w:rPr>
        <w:t>竞包</w:t>
      </w:r>
      <w:r>
        <w:rPr>
          <w:rFonts w:ascii="宋体" w:hAnsi="宋体"/>
          <w:color w:val="auto"/>
          <w:szCs w:val="21"/>
          <w:highlight w:val="none"/>
        </w:rPr>
        <w:t>文件。</w:t>
      </w:r>
    </w:p>
    <w:p w14:paraId="73C5BA5E">
      <w:pPr>
        <w:pStyle w:val="14"/>
        <w:spacing w:line="360" w:lineRule="exact"/>
        <w:ind w:left="0" w:firstLine="420" w:firstLineChars="200"/>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0"/>
          <w:highlight w:val="none"/>
        </w:rPr>
        <w:t>.</w:t>
      </w:r>
      <w:r>
        <w:rPr>
          <w:rFonts w:hint="eastAsia" w:ascii="宋体" w:hAnsi="宋体"/>
          <w:color w:val="auto"/>
          <w:szCs w:val="21"/>
          <w:highlight w:val="none"/>
        </w:rPr>
        <w:t xml:space="preserve"> </w:t>
      </w:r>
      <w:r>
        <w:rPr>
          <w:color w:val="auto"/>
          <w:szCs w:val="21"/>
          <w:highlight w:val="none"/>
        </w:rPr>
        <w:t>项目负责人姓名：</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ab/>
      </w:r>
      <w:r>
        <w:rPr>
          <w:color w:val="auto"/>
          <w:szCs w:val="21"/>
          <w:highlight w:val="none"/>
        </w:rPr>
        <w:t>，年龄：</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ab/>
      </w:r>
      <w:r>
        <w:rPr>
          <w:color w:val="auto"/>
          <w:szCs w:val="21"/>
          <w:highlight w:val="none"/>
        </w:rPr>
        <w:t>，职称：</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ab/>
      </w:r>
      <w:r>
        <w:rPr>
          <w:rFonts w:hint="eastAsia" w:ascii="宋体" w:hAnsi="宋体"/>
          <w:color w:val="auto"/>
          <w:szCs w:val="21"/>
          <w:highlight w:val="none"/>
        </w:rPr>
        <w:t>。</w:t>
      </w:r>
    </w:p>
    <w:p w14:paraId="6F6D7197">
      <w:pPr>
        <w:pStyle w:val="14"/>
        <w:spacing w:line="360" w:lineRule="exact"/>
        <w:ind w:left="0" w:firstLine="420" w:firstLineChars="200"/>
        <w:rPr>
          <w:color w:val="auto"/>
          <w:szCs w:val="21"/>
          <w:highlight w:val="none"/>
        </w:rPr>
      </w:pPr>
      <w:r>
        <w:rPr>
          <w:rFonts w:hint="eastAsia" w:ascii="宋体" w:hAnsi="宋体"/>
          <w:color w:val="auto"/>
          <w:szCs w:val="21"/>
          <w:highlight w:val="none"/>
        </w:rPr>
        <w:t>4</w:t>
      </w:r>
      <w:r>
        <w:rPr>
          <w:rFonts w:hint="eastAsia" w:ascii="宋体" w:hAnsi="宋体"/>
          <w:color w:val="auto"/>
          <w:szCs w:val="20"/>
          <w:highlight w:val="none"/>
        </w:rPr>
        <w:t>.</w:t>
      </w:r>
      <w:r>
        <w:rPr>
          <w:rFonts w:hint="eastAsia" w:ascii="宋体" w:hAnsi="宋体"/>
          <w:color w:val="auto"/>
          <w:szCs w:val="21"/>
          <w:highlight w:val="none"/>
        </w:rPr>
        <w:t xml:space="preserve"> </w:t>
      </w:r>
      <w:r>
        <w:rPr>
          <w:color w:val="auto"/>
          <w:spacing w:val="14"/>
          <w:szCs w:val="21"/>
          <w:highlight w:val="none"/>
        </w:rPr>
        <w:t>质量要求：</w:t>
      </w:r>
      <w:r>
        <w:rPr>
          <w:color w:val="auto"/>
          <w:spacing w:val="14"/>
          <w:szCs w:val="21"/>
          <w:highlight w:val="none"/>
          <w:u w:val="single"/>
        </w:rPr>
        <w:t xml:space="preserve"> </w:t>
      </w:r>
      <w:r>
        <w:rPr>
          <w:rFonts w:hint="eastAsia"/>
          <w:color w:val="auto"/>
          <w:spacing w:val="14"/>
          <w:szCs w:val="21"/>
          <w:highlight w:val="none"/>
          <w:u w:val="single"/>
        </w:rPr>
        <w:t xml:space="preserve">        </w:t>
      </w:r>
      <w:r>
        <w:rPr>
          <w:color w:val="auto"/>
          <w:spacing w:val="14"/>
          <w:szCs w:val="21"/>
          <w:highlight w:val="none"/>
          <w:u w:val="single"/>
        </w:rPr>
        <w:tab/>
      </w:r>
      <w:r>
        <w:rPr>
          <w:color w:val="auto"/>
          <w:spacing w:val="14"/>
          <w:szCs w:val="21"/>
          <w:highlight w:val="none"/>
        </w:rPr>
        <w:t>，安全目标：</w:t>
      </w:r>
      <w:r>
        <w:rPr>
          <w:color w:val="auto"/>
          <w:spacing w:val="14"/>
          <w:szCs w:val="21"/>
          <w:highlight w:val="none"/>
          <w:u w:val="single"/>
        </w:rPr>
        <w:t xml:space="preserve"> </w:t>
      </w:r>
      <w:r>
        <w:rPr>
          <w:rFonts w:hint="eastAsia"/>
          <w:color w:val="auto"/>
          <w:spacing w:val="14"/>
          <w:szCs w:val="21"/>
          <w:highlight w:val="none"/>
          <w:u w:val="single"/>
        </w:rPr>
        <w:t xml:space="preserve">     </w:t>
      </w:r>
      <w:r>
        <w:rPr>
          <w:color w:val="auto"/>
          <w:spacing w:val="14"/>
          <w:szCs w:val="21"/>
          <w:highlight w:val="none"/>
          <w:u w:val="single"/>
        </w:rPr>
        <w:tab/>
      </w:r>
      <w:r>
        <w:rPr>
          <w:color w:val="auto"/>
          <w:spacing w:val="14"/>
          <w:szCs w:val="21"/>
          <w:highlight w:val="none"/>
        </w:rPr>
        <w:t>，</w:t>
      </w:r>
      <w:r>
        <w:rPr>
          <w:rFonts w:hint="eastAsia"/>
          <w:color w:val="auto"/>
          <w:spacing w:val="14"/>
          <w:szCs w:val="21"/>
          <w:highlight w:val="none"/>
        </w:rPr>
        <w:t>设计</w:t>
      </w:r>
      <w:r>
        <w:rPr>
          <w:color w:val="auto"/>
          <w:spacing w:val="14"/>
          <w:szCs w:val="21"/>
          <w:highlight w:val="none"/>
        </w:rPr>
        <w:t>服务</w:t>
      </w:r>
      <w:r>
        <w:rPr>
          <w:color w:val="auto"/>
          <w:spacing w:val="-15"/>
          <w:szCs w:val="21"/>
          <w:highlight w:val="none"/>
        </w:rPr>
        <w:t>期</w:t>
      </w:r>
      <w:r>
        <w:rPr>
          <w:color w:val="auto"/>
          <w:szCs w:val="21"/>
          <w:highlight w:val="none"/>
        </w:rPr>
        <w:t>限：</w:t>
      </w:r>
      <w:r>
        <w:rPr>
          <w:color w:val="auto"/>
          <w:szCs w:val="21"/>
          <w:highlight w:val="none"/>
          <w:u w:val="single"/>
        </w:rPr>
        <w:t xml:space="preserve"> </w:t>
      </w:r>
      <w:r>
        <w:rPr>
          <w:color w:val="auto"/>
          <w:szCs w:val="21"/>
          <w:highlight w:val="none"/>
          <w:u w:val="single"/>
        </w:rPr>
        <w:tab/>
      </w:r>
      <w:r>
        <w:rPr>
          <w:rFonts w:hint="eastAsia"/>
          <w:color w:val="auto"/>
          <w:szCs w:val="21"/>
          <w:highlight w:val="none"/>
          <w:u w:val="single"/>
        </w:rPr>
        <w:t xml:space="preserve">       </w:t>
      </w:r>
      <w:r>
        <w:rPr>
          <w:rFonts w:hint="eastAsia"/>
          <w:color w:val="auto"/>
          <w:szCs w:val="21"/>
          <w:highlight w:val="none"/>
        </w:rPr>
        <w:t>。</w:t>
      </w:r>
    </w:p>
    <w:p w14:paraId="579172FC">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5</w:t>
      </w:r>
      <w:r>
        <w:rPr>
          <w:rFonts w:hint="eastAsia" w:ascii="宋体" w:hAnsi="宋体"/>
          <w:color w:val="auto"/>
          <w:szCs w:val="20"/>
          <w:highlight w:val="none"/>
        </w:rPr>
        <w:t>.</w:t>
      </w:r>
      <w:r>
        <w:rPr>
          <w:rFonts w:hint="eastAsia" w:ascii="宋体" w:hAnsi="宋体"/>
          <w:color w:val="auto"/>
          <w:szCs w:val="21"/>
          <w:highlight w:val="none"/>
        </w:rPr>
        <w:t xml:space="preserve"> 如由我方中包，</w:t>
      </w:r>
      <w:r>
        <w:rPr>
          <w:rFonts w:ascii="宋体" w:hAnsi="宋体"/>
          <w:color w:val="auto"/>
          <w:szCs w:val="21"/>
          <w:highlight w:val="none"/>
        </w:rPr>
        <w:t>我方承诺</w:t>
      </w:r>
      <w:r>
        <w:rPr>
          <w:rFonts w:hint="eastAsia" w:ascii="宋体" w:hAnsi="宋体"/>
          <w:color w:val="auto"/>
          <w:szCs w:val="21"/>
          <w:highlight w:val="none"/>
        </w:rPr>
        <w:t>：</w:t>
      </w:r>
    </w:p>
    <w:p w14:paraId="4DFA96A3">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在收到</w:t>
      </w:r>
      <w:r>
        <w:rPr>
          <w:rFonts w:hint="eastAsia" w:ascii="宋体" w:hAnsi="宋体"/>
          <w:color w:val="auto"/>
          <w:szCs w:val="21"/>
          <w:highlight w:val="none"/>
        </w:rPr>
        <w:t>中包</w:t>
      </w:r>
      <w:r>
        <w:rPr>
          <w:rFonts w:ascii="宋体" w:hAnsi="宋体"/>
          <w:color w:val="auto"/>
          <w:szCs w:val="21"/>
          <w:highlight w:val="none"/>
        </w:rPr>
        <w:t>通知书后，在</w:t>
      </w:r>
      <w:r>
        <w:rPr>
          <w:rFonts w:hint="eastAsia" w:ascii="宋体" w:hAnsi="宋体"/>
          <w:color w:val="auto"/>
          <w:szCs w:val="21"/>
          <w:highlight w:val="none"/>
        </w:rPr>
        <w:t>中包</w:t>
      </w:r>
      <w:r>
        <w:rPr>
          <w:rFonts w:ascii="宋体" w:hAnsi="宋体"/>
          <w:color w:val="auto"/>
          <w:szCs w:val="21"/>
          <w:highlight w:val="none"/>
        </w:rPr>
        <w:t>通知书规定的期限内与你方签订合同</w:t>
      </w:r>
      <w:r>
        <w:rPr>
          <w:rFonts w:hint="eastAsia" w:ascii="宋体" w:hAnsi="宋体"/>
          <w:color w:val="auto"/>
          <w:szCs w:val="21"/>
          <w:highlight w:val="none"/>
        </w:rPr>
        <w:t>；</w:t>
      </w:r>
    </w:p>
    <w:p w14:paraId="6E7DC687">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在签订合同时不向你方提出附加条件</w:t>
      </w:r>
      <w:r>
        <w:rPr>
          <w:rFonts w:hint="eastAsia" w:ascii="宋体" w:hAnsi="宋体"/>
          <w:color w:val="auto"/>
          <w:szCs w:val="21"/>
          <w:highlight w:val="none"/>
        </w:rPr>
        <w:t>；</w:t>
      </w:r>
    </w:p>
    <w:p w14:paraId="147B9DAC">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按照</w:t>
      </w:r>
      <w:r>
        <w:rPr>
          <w:rFonts w:hint="eastAsia" w:ascii="宋体" w:hAnsi="宋体"/>
          <w:color w:val="auto"/>
          <w:szCs w:val="21"/>
          <w:highlight w:val="none"/>
        </w:rPr>
        <w:t>发包</w:t>
      </w:r>
      <w:r>
        <w:rPr>
          <w:rFonts w:ascii="宋体" w:hAnsi="宋体"/>
          <w:color w:val="auto"/>
          <w:szCs w:val="21"/>
          <w:highlight w:val="none"/>
        </w:rPr>
        <w:t>文件要求提交履约保证金</w:t>
      </w:r>
      <w:r>
        <w:rPr>
          <w:rFonts w:hint="eastAsia" w:ascii="宋体" w:hAnsi="宋体"/>
          <w:color w:val="auto"/>
          <w:szCs w:val="21"/>
          <w:highlight w:val="none"/>
        </w:rPr>
        <w:t>；</w:t>
      </w:r>
    </w:p>
    <w:p w14:paraId="6170314B">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在合同约定的期限内完成合同规定的全部义务</w:t>
      </w:r>
      <w:r>
        <w:rPr>
          <w:rFonts w:hint="eastAsia" w:ascii="宋体" w:hAnsi="宋体"/>
          <w:color w:val="auto"/>
          <w:szCs w:val="21"/>
          <w:highlight w:val="none"/>
        </w:rPr>
        <w:t>；</w:t>
      </w:r>
    </w:p>
    <w:p w14:paraId="0E70D85F">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在你方和我方进行合同谈判之前，我方将按照合同附件提出的最低要求填报派驻本标段的分项负责人，经你方审批后作为派驻本标段的</w:t>
      </w:r>
      <w:r>
        <w:rPr>
          <w:rFonts w:hint="eastAsia" w:ascii="宋体" w:hAnsi="宋体"/>
          <w:color w:val="auto"/>
          <w:szCs w:val="21"/>
          <w:highlight w:val="none"/>
        </w:rPr>
        <w:t>设计</w:t>
      </w:r>
      <w:r>
        <w:rPr>
          <w:rFonts w:ascii="宋体" w:hAnsi="宋体"/>
          <w:color w:val="auto"/>
          <w:szCs w:val="21"/>
          <w:highlight w:val="none"/>
        </w:rPr>
        <w:t>主要人员且不进行更换。如我方拟派驻的人员不满足合同附件要求，你方有权取消我方</w:t>
      </w:r>
      <w:r>
        <w:rPr>
          <w:rFonts w:hint="eastAsia" w:ascii="宋体" w:hAnsi="宋体"/>
          <w:color w:val="auto"/>
          <w:szCs w:val="21"/>
          <w:highlight w:val="none"/>
        </w:rPr>
        <w:t>中包</w:t>
      </w:r>
      <w:r>
        <w:rPr>
          <w:rFonts w:ascii="宋体" w:hAnsi="宋体"/>
          <w:color w:val="auto"/>
          <w:szCs w:val="21"/>
          <w:highlight w:val="none"/>
        </w:rPr>
        <w:t>资格</w:t>
      </w:r>
      <w:r>
        <w:rPr>
          <w:rFonts w:hint="eastAsia" w:ascii="宋体" w:hAnsi="宋体"/>
          <w:color w:val="auto"/>
          <w:szCs w:val="21"/>
          <w:highlight w:val="none"/>
        </w:rPr>
        <w:t>。</w:t>
      </w:r>
    </w:p>
    <w:p w14:paraId="3A448AEE">
      <w:pPr>
        <w:pStyle w:val="14"/>
        <w:spacing w:line="360" w:lineRule="exact"/>
        <w:ind w:left="0" w:firstLine="420" w:firstLineChars="200"/>
        <w:rPr>
          <w:color w:val="auto"/>
          <w:sz w:val="24"/>
          <w:highlight w:val="none"/>
        </w:rPr>
      </w:pPr>
      <w:r>
        <w:rPr>
          <w:rFonts w:hint="eastAsia" w:ascii="宋体" w:hAnsi="宋体"/>
          <w:color w:val="auto"/>
          <w:szCs w:val="21"/>
          <w:highlight w:val="none"/>
        </w:rPr>
        <w:t>6</w:t>
      </w:r>
      <w:r>
        <w:rPr>
          <w:rFonts w:hint="eastAsia" w:ascii="宋体" w:hAnsi="宋体"/>
          <w:color w:val="auto"/>
          <w:szCs w:val="20"/>
          <w:highlight w:val="none"/>
        </w:rPr>
        <w:t>.</w:t>
      </w:r>
      <w:r>
        <w:rPr>
          <w:rFonts w:hint="eastAsia" w:ascii="宋体" w:hAnsi="宋体"/>
          <w:color w:val="auto"/>
          <w:szCs w:val="21"/>
          <w:highlight w:val="none"/>
        </w:rPr>
        <w:t xml:space="preserve"> </w:t>
      </w:r>
      <w:r>
        <w:rPr>
          <w:rFonts w:ascii="宋体" w:hAnsi="宋体"/>
          <w:color w:val="auto"/>
          <w:szCs w:val="21"/>
          <w:highlight w:val="none"/>
        </w:rPr>
        <w:t>我方在此声明，所递交的</w:t>
      </w:r>
      <w:r>
        <w:rPr>
          <w:rFonts w:hint="eastAsia" w:ascii="宋体" w:hAnsi="宋体"/>
          <w:color w:val="auto"/>
          <w:szCs w:val="21"/>
          <w:highlight w:val="none"/>
        </w:rPr>
        <w:t>竞包</w:t>
      </w:r>
      <w:r>
        <w:rPr>
          <w:rFonts w:ascii="宋体" w:hAnsi="宋体"/>
          <w:color w:val="auto"/>
          <w:szCs w:val="21"/>
          <w:highlight w:val="none"/>
        </w:rPr>
        <w:t>文件及有关资料内容完整、真实和准确，且不存在</w:t>
      </w:r>
      <w:r>
        <w:rPr>
          <w:rFonts w:hint="eastAsia" w:ascii="宋体" w:hAnsi="宋体"/>
          <w:color w:val="auto"/>
          <w:szCs w:val="21"/>
          <w:highlight w:val="none"/>
        </w:rPr>
        <w:t>发包</w:t>
      </w:r>
      <w:r>
        <w:rPr>
          <w:rFonts w:ascii="宋体" w:hAnsi="宋体"/>
          <w:color w:val="auto"/>
          <w:szCs w:val="21"/>
          <w:highlight w:val="none"/>
        </w:rPr>
        <w:t>文件第二章“</w:t>
      </w:r>
      <w:r>
        <w:rPr>
          <w:rFonts w:hint="eastAsia" w:ascii="宋体" w:hAnsi="宋体"/>
          <w:color w:val="auto"/>
          <w:szCs w:val="21"/>
          <w:highlight w:val="none"/>
        </w:rPr>
        <w:t>竞包</w:t>
      </w:r>
      <w:r>
        <w:rPr>
          <w:rFonts w:ascii="宋体" w:hAnsi="宋体"/>
          <w:color w:val="auto"/>
          <w:szCs w:val="21"/>
          <w:highlight w:val="none"/>
        </w:rPr>
        <w:t>人须知”第1.4.3项和第1.4.4项规定的任何一种情形</w:t>
      </w:r>
      <w:r>
        <w:rPr>
          <w:rFonts w:hint="eastAsia" w:ascii="宋体" w:hAnsi="宋体"/>
          <w:color w:val="auto"/>
          <w:szCs w:val="21"/>
          <w:highlight w:val="none"/>
        </w:rPr>
        <w:t>。</w:t>
      </w:r>
    </w:p>
    <w:p w14:paraId="1A69E782">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7</w:t>
      </w:r>
      <w:r>
        <w:rPr>
          <w:rFonts w:hint="eastAsia" w:ascii="宋体" w:hAnsi="宋体"/>
          <w:color w:val="auto"/>
          <w:szCs w:val="20"/>
          <w:highlight w:val="none"/>
        </w:rPr>
        <w:t>.</w:t>
      </w:r>
      <w:r>
        <w:rPr>
          <w:rFonts w:hint="eastAsia" w:ascii="宋体" w:hAnsi="宋体"/>
          <w:color w:val="auto"/>
          <w:szCs w:val="21"/>
          <w:highlight w:val="none"/>
        </w:rPr>
        <w:t xml:space="preserve"> </w:t>
      </w:r>
      <w:r>
        <w:rPr>
          <w:rFonts w:ascii="宋体" w:hAnsi="宋体"/>
          <w:color w:val="auto"/>
          <w:szCs w:val="21"/>
          <w:highlight w:val="none"/>
        </w:rPr>
        <w:t>在合同协议书正式签署生效之前，本</w:t>
      </w:r>
      <w:r>
        <w:rPr>
          <w:rFonts w:hint="eastAsia" w:ascii="宋体" w:hAnsi="宋体"/>
          <w:color w:val="auto"/>
          <w:szCs w:val="21"/>
          <w:highlight w:val="none"/>
        </w:rPr>
        <w:t>竞包</w:t>
      </w:r>
      <w:r>
        <w:rPr>
          <w:rFonts w:ascii="宋体" w:hAnsi="宋体"/>
          <w:color w:val="auto"/>
          <w:szCs w:val="21"/>
          <w:highlight w:val="none"/>
        </w:rPr>
        <w:t>函连同你方的</w:t>
      </w:r>
      <w:r>
        <w:rPr>
          <w:rFonts w:hint="eastAsia" w:ascii="宋体" w:hAnsi="宋体"/>
          <w:color w:val="auto"/>
          <w:szCs w:val="21"/>
          <w:highlight w:val="none"/>
        </w:rPr>
        <w:t>中包</w:t>
      </w:r>
      <w:r>
        <w:rPr>
          <w:rFonts w:ascii="宋体" w:hAnsi="宋体"/>
          <w:color w:val="auto"/>
          <w:szCs w:val="21"/>
          <w:highlight w:val="none"/>
        </w:rPr>
        <w:t>通知书将构成我们双方之间共同遵守的文件，对双方具有约束力</w:t>
      </w:r>
      <w:r>
        <w:rPr>
          <w:rFonts w:hint="eastAsia" w:ascii="宋体" w:hAnsi="宋体"/>
          <w:color w:val="auto"/>
          <w:szCs w:val="21"/>
          <w:highlight w:val="none"/>
        </w:rPr>
        <w:t>。</w:t>
      </w:r>
    </w:p>
    <w:p w14:paraId="73741A70">
      <w:pPr>
        <w:pStyle w:val="14"/>
        <w:spacing w:line="360" w:lineRule="exact"/>
        <w:ind w:left="0" w:firstLine="420" w:firstLineChars="200"/>
        <w:rPr>
          <w:rFonts w:ascii="宋体" w:hAnsi="宋体"/>
          <w:color w:val="auto"/>
          <w:szCs w:val="21"/>
          <w:highlight w:val="none"/>
        </w:rPr>
      </w:pPr>
      <w:r>
        <w:rPr>
          <w:rFonts w:hint="eastAsia" w:ascii="宋体" w:hAnsi="宋体"/>
          <w:color w:val="auto"/>
          <w:szCs w:val="21"/>
          <w:highlight w:val="none"/>
        </w:rPr>
        <w:t>8</w:t>
      </w:r>
      <w:r>
        <w:rPr>
          <w:rFonts w:hint="eastAsia" w:ascii="宋体" w:hAnsi="宋体"/>
          <w:color w:val="auto"/>
          <w:szCs w:val="20"/>
          <w:highlight w:val="none"/>
        </w:rPr>
        <w:t>.</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（其他补充说明）</w:t>
      </w:r>
      <w:r>
        <w:rPr>
          <w:rFonts w:hint="eastAsia" w:ascii="宋体" w:hAnsi="宋体"/>
          <w:color w:val="auto"/>
          <w:szCs w:val="21"/>
          <w:highlight w:val="none"/>
        </w:rPr>
        <w:t>。</w:t>
      </w:r>
    </w:p>
    <w:p w14:paraId="77EEBE05">
      <w:pPr>
        <w:pStyle w:val="14"/>
        <w:spacing w:line="360" w:lineRule="exact"/>
        <w:rPr>
          <w:color w:val="auto"/>
          <w:szCs w:val="21"/>
          <w:highlight w:val="none"/>
        </w:rPr>
      </w:pPr>
    </w:p>
    <w:p w14:paraId="442ACA27">
      <w:pPr>
        <w:pStyle w:val="14"/>
        <w:spacing w:line="360" w:lineRule="exact"/>
        <w:ind w:firstLine="567" w:firstLineChars="270"/>
        <w:rPr>
          <w:color w:val="auto"/>
          <w:szCs w:val="21"/>
          <w:highlight w:val="none"/>
          <w:u w:val="single"/>
        </w:rPr>
      </w:pPr>
      <w:r>
        <w:rPr>
          <w:rFonts w:hint="eastAsia"/>
          <w:color w:val="auto"/>
          <w:szCs w:val="21"/>
          <w:highlight w:val="none"/>
        </w:rPr>
        <w:t>竞包</w:t>
      </w:r>
      <w:r>
        <w:rPr>
          <w:color w:val="auto"/>
          <w:szCs w:val="21"/>
          <w:highlight w:val="none"/>
        </w:rPr>
        <w:t>人：</w:t>
      </w:r>
      <w:r>
        <w:rPr>
          <w:color w:val="auto"/>
          <w:szCs w:val="21"/>
          <w:highlight w:val="none"/>
          <w:u w:val="single"/>
        </w:rPr>
        <w:t xml:space="preserve">                    </w:t>
      </w:r>
      <w:r>
        <w:rPr>
          <w:rFonts w:hint="eastAsia"/>
          <w:color w:val="auto"/>
          <w:szCs w:val="21"/>
          <w:highlight w:val="none"/>
        </w:rPr>
        <w:t>（盖单位印章）</w:t>
      </w:r>
    </w:p>
    <w:p w14:paraId="16928A32">
      <w:pPr>
        <w:pStyle w:val="14"/>
        <w:spacing w:line="360" w:lineRule="exact"/>
        <w:ind w:firstLine="567" w:firstLineChars="27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rPr>
        <w:t>（盖法定代表人章）</w:t>
      </w:r>
    </w:p>
    <w:p w14:paraId="41A78280">
      <w:pPr>
        <w:pStyle w:val="14"/>
        <w:spacing w:line="360" w:lineRule="exact"/>
        <w:ind w:firstLine="567" w:firstLineChars="270"/>
        <w:rPr>
          <w:color w:val="auto"/>
          <w:szCs w:val="21"/>
          <w:highlight w:val="none"/>
        </w:rPr>
      </w:pPr>
      <w:r>
        <w:rPr>
          <w:color w:val="auto"/>
          <w:szCs w:val="21"/>
          <w:highlight w:val="none"/>
        </w:rPr>
        <w:t>地址：</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5337CACF">
      <w:pPr>
        <w:pStyle w:val="14"/>
        <w:spacing w:line="360" w:lineRule="exact"/>
        <w:ind w:firstLine="567" w:firstLineChars="270"/>
        <w:rPr>
          <w:color w:val="auto"/>
          <w:szCs w:val="21"/>
          <w:highlight w:val="none"/>
        </w:rPr>
      </w:pPr>
      <w:r>
        <w:rPr>
          <w:color w:val="auto"/>
          <w:szCs w:val="21"/>
          <w:highlight w:val="none"/>
        </w:rPr>
        <w:t>网址：</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5ADDA002">
      <w:pPr>
        <w:pStyle w:val="14"/>
        <w:spacing w:line="360" w:lineRule="exact"/>
        <w:ind w:firstLine="567" w:firstLineChars="270"/>
        <w:rPr>
          <w:color w:val="auto"/>
          <w:szCs w:val="21"/>
          <w:highlight w:val="none"/>
        </w:rPr>
      </w:pPr>
      <w:r>
        <w:rPr>
          <w:color w:val="auto"/>
          <w:szCs w:val="21"/>
          <w:highlight w:val="none"/>
        </w:rPr>
        <w:t>电话：</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162029D6">
      <w:pPr>
        <w:pStyle w:val="14"/>
        <w:spacing w:line="360" w:lineRule="exact"/>
        <w:ind w:firstLine="567" w:firstLineChars="270"/>
        <w:rPr>
          <w:color w:val="auto"/>
          <w:szCs w:val="21"/>
          <w:highlight w:val="none"/>
        </w:rPr>
      </w:pPr>
      <w:r>
        <w:rPr>
          <w:color w:val="auto"/>
          <w:szCs w:val="21"/>
          <w:highlight w:val="none"/>
        </w:rPr>
        <w:t>传真：</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5B5809FB">
      <w:pPr>
        <w:pStyle w:val="14"/>
        <w:spacing w:line="360" w:lineRule="exact"/>
        <w:ind w:firstLine="567" w:firstLineChars="270"/>
        <w:rPr>
          <w:color w:val="auto"/>
          <w:szCs w:val="21"/>
          <w:highlight w:val="none"/>
        </w:rPr>
      </w:pPr>
      <w:r>
        <w:rPr>
          <w:color w:val="auto"/>
          <w:szCs w:val="21"/>
          <w:highlight w:val="none"/>
        </w:rPr>
        <w:t>邮编：</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4C2114C2">
      <w:pPr>
        <w:pStyle w:val="14"/>
        <w:spacing w:line="360" w:lineRule="exact"/>
        <w:ind w:firstLine="1826" w:firstLineChars="870"/>
        <w:rPr>
          <w:color w:val="auto"/>
          <w:szCs w:val="21"/>
          <w:highlight w:val="none"/>
        </w:rPr>
      </w:pP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color w:val="auto"/>
          <w:szCs w:val="21"/>
          <w:highlight w:val="none"/>
        </w:rPr>
        <w:t>月</w:t>
      </w:r>
      <w:r>
        <w:rPr>
          <w:rFonts w:hint="eastAsia"/>
          <w:color w:val="auto"/>
          <w:szCs w:val="21"/>
          <w:highlight w:val="none"/>
          <w:u w:val="single"/>
        </w:rPr>
        <w:t xml:space="preserve">   </w:t>
      </w:r>
      <w:r>
        <w:rPr>
          <w:rFonts w:hint="eastAsia"/>
          <w:color w:val="auto"/>
          <w:szCs w:val="21"/>
          <w:highlight w:val="none"/>
        </w:rPr>
        <w:t>日</w:t>
      </w:r>
    </w:p>
    <w:p w14:paraId="359F261A">
      <w:pPr>
        <w:pStyle w:val="14"/>
        <w:spacing w:line="440" w:lineRule="exact"/>
        <w:rPr>
          <w:rFonts w:eastAsia="黑体"/>
          <w:color w:val="auto"/>
          <w:sz w:val="20"/>
          <w:szCs w:val="20"/>
          <w:highlight w:val="none"/>
        </w:rPr>
      </w:pPr>
      <w:r>
        <w:rPr>
          <w:color w:val="auto"/>
          <w:szCs w:val="21"/>
          <w:highlight w:val="none"/>
        </w:rPr>
        <w:br w:type="page"/>
      </w:r>
      <w:bookmarkStart w:id="922" w:name="_Hlk42506976"/>
    </w:p>
    <w:p w14:paraId="6CEC33E9">
      <w:pPr>
        <w:pStyle w:val="62"/>
        <w:jc w:val="center"/>
        <w:rPr>
          <w:color w:val="auto"/>
          <w:sz w:val="30"/>
          <w:szCs w:val="30"/>
          <w:highlight w:val="none"/>
        </w:rPr>
      </w:pPr>
      <w:bookmarkStart w:id="923" w:name="_Toc179632811"/>
      <w:bookmarkStart w:id="924" w:name="_Toc152042580"/>
      <w:bookmarkStart w:id="925" w:name="_Toc152045791"/>
      <w:bookmarkStart w:id="926" w:name="_Toc144974860"/>
      <w:bookmarkStart w:id="927" w:name="_Toc31038"/>
      <w:bookmarkStart w:id="928" w:name="_Toc12594"/>
      <w:bookmarkStart w:id="929" w:name="_Toc31221"/>
      <w:bookmarkStart w:id="930" w:name="_Toc14913"/>
      <w:bookmarkStart w:id="931" w:name="_Toc13119"/>
      <w:bookmarkStart w:id="932" w:name="_Toc12165"/>
      <w:r>
        <w:rPr>
          <w:color w:val="auto"/>
          <w:sz w:val="30"/>
          <w:szCs w:val="30"/>
          <w:highlight w:val="none"/>
        </w:rPr>
        <w:t>二、</w:t>
      </w:r>
      <w:bookmarkEnd w:id="923"/>
      <w:bookmarkEnd w:id="924"/>
      <w:bookmarkEnd w:id="925"/>
      <w:bookmarkEnd w:id="926"/>
      <w:r>
        <w:rPr>
          <w:rFonts w:hint="eastAsia"/>
          <w:color w:val="auto"/>
          <w:sz w:val="30"/>
          <w:szCs w:val="30"/>
          <w:highlight w:val="none"/>
        </w:rPr>
        <w:t>授权委托书或</w:t>
      </w:r>
      <w:r>
        <w:rPr>
          <w:color w:val="auto"/>
          <w:sz w:val="30"/>
          <w:szCs w:val="30"/>
          <w:highlight w:val="none"/>
        </w:rPr>
        <w:t>法定代表人身份证明</w:t>
      </w:r>
      <w:bookmarkEnd w:id="927"/>
      <w:bookmarkEnd w:id="928"/>
      <w:bookmarkEnd w:id="929"/>
      <w:bookmarkEnd w:id="930"/>
      <w:bookmarkEnd w:id="931"/>
      <w:bookmarkEnd w:id="932"/>
    </w:p>
    <w:p w14:paraId="480A5B59">
      <w:pPr>
        <w:pStyle w:val="14"/>
        <w:spacing w:line="440" w:lineRule="exact"/>
        <w:rPr>
          <w:color w:val="auto"/>
          <w:sz w:val="20"/>
          <w:szCs w:val="20"/>
          <w:highlight w:val="none"/>
        </w:rPr>
      </w:pPr>
    </w:p>
    <w:p w14:paraId="6F9031FE">
      <w:pPr>
        <w:pStyle w:val="68"/>
        <w:jc w:val="center"/>
        <w:rPr>
          <w:color w:val="auto"/>
          <w:sz w:val="30"/>
          <w:szCs w:val="30"/>
          <w:highlight w:val="none"/>
        </w:rPr>
      </w:pPr>
      <w:bookmarkStart w:id="933" w:name="_Toc179632812"/>
      <w:bookmarkStart w:id="934" w:name="_Toc152042581"/>
      <w:bookmarkStart w:id="935" w:name="_Toc144974861"/>
      <w:bookmarkStart w:id="936" w:name="_Toc152045792"/>
      <w:bookmarkStart w:id="937" w:name="_Toc19850"/>
      <w:bookmarkStart w:id="938" w:name="_Toc32565"/>
      <w:bookmarkStart w:id="939" w:name="_Toc23081"/>
      <w:bookmarkStart w:id="940" w:name="_Toc32271"/>
      <w:bookmarkStart w:id="941" w:name="_Toc20985"/>
      <w:bookmarkStart w:id="942" w:name="_Toc12517"/>
      <w:r>
        <w:rPr>
          <w:rFonts w:hint="eastAsia"/>
          <w:color w:val="auto"/>
          <w:sz w:val="30"/>
          <w:szCs w:val="30"/>
          <w:highlight w:val="none"/>
        </w:rPr>
        <w:t>（一）</w:t>
      </w:r>
      <w:r>
        <w:rPr>
          <w:color w:val="auto"/>
          <w:sz w:val="30"/>
          <w:szCs w:val="30"/>
          <w:highlight w:val="none"/>
        </w:rPr>
        <w:t>授权委托书</w:t>
      </w:r>
      <w:bookmarkEnd w:id="933"/>
      <w:bookmarkEnd w:id="934"/>
      <w:bookmarkEnd w:id="935"/>
      <w:bookmarkEnd w:id="936"/>
      <w:r>
        <w:rPr>
          <w:rStyle w:val="41"/>
          <w:color w:val="auto"/>
          <w:sz w:val="30"/>
          <w:szCs w:val="30"/>
          <w:highlight w:val="none"/>
        </w:rPr>
        <w:footnoteReference w:id="6"/>
      </w:r>
      <w:bookmarkEnd w:id="937"/>
      <w:bookmarkEnd w:id="938"/>
      <w:bookmarkEnd w:id="939"/>
      <w:bookmarkEnd w:id="940"/>
      <w:bookmarkEnd w:id="941"/>
      <w:bookmarkEnd w:id="942"/>
    </w:p>
    <w:p w14:paraId="47F2D72A">
      <w:pPr>
        <w:pStyle w:val="14"/>
        <w:spacing w:line="440" w:lineRule="exact"/>
        <w:rPr>
          <w:rFonts w:eastAsia="黑体"/>
          <w:color w:val="auto"/>
          <w:szCs w:val="21"/>
          <w:highlight w:val="none"/>
        </w:rPr>
      </w:pPr>
    </w:p>
    <w:p w14:paraId="4CBBC2C0">
      <w:pPr>
        <w:pStyle w:val="14"/>
        <w:topLinePunct/>
        <w:spacing w:line="440" w:lineRule="exact"/>
        <w:ind w:left="0" w:firstLine="0"/>
        <w:rPr>
          <w:color w:val="auto"/>
          <w:szCs w:val="21"/>
          <w:highlight w:val="none"/>
        </w:rPr>
      </w:pPr>
      <w:r>
        <w:rPr>
          <w:color w:val="auto"/>
          <w:szCs w:val="21"/>
          <w:highlight w:val="none"/>
        </w:rPr>
        <w:t>本人</w:t>
      </w:r>
      <w:r>
        <w:rPr>
          <w:color w:val="auto"/>
          <w:szCs w:val="21"/>
          <w:highlight w:val="none"/>
          <w:u w:val="single"/>
        </w:rPr>
        <w:t xml:space="preserve">       </w:t>
      </w:r>
      <w:r>
        <w:rPr>
          <w:color w:val="auto"/>
          <w:szCs w:val="21"/>
          <w:highlight w:val="none"/>
        </w:rPr>
        <w:t>（姓名）系</w:t>
      </w:r>
      <w:r>
        <w:rPr>
          <w:color w:val="auto"/>
          <w:szCs w:val="21"/>
          <w:highlight w:val="none"/>
          <w:u w:val="single"/>
        </w:rPr>
        <w:t xml:space="preserve">        </w:t>
      </w:r>
      <w:r>
        <w:rPr>
          <w:color w:val="auto"/>
          <w:szCs w:val="21"/>
          <w:highlight w:val="none"/>
        </w:rPr>
        <w:t>（</w:t>
      </w:r>
      <w:r>
        <w:rPr>
          <w:rFonts w:hint="eastAsia"/>
          <w:color w:val="auto"/>
          <w:szCs w:val="21"/>
          <w:highlight w:val="none"/>
        </w:rPr>
        <w:t>竞包</w:t>
      </w:r>
      <w:r>
        <w:rPr>
          <w:color w:val="auto"/>
          <w:szCs w:val="21"/>
          <w:highlight w:val="none"/>
        </w:rPr>
        <w:t>人名称）的法定代表人，现委托</w:t>
      </w:r>
      <w:r>
        <w:rPr>
          <w:color w:val="auto"/>
          <w:szCs w:val="21"/>
          <w:highlight w:val="none"/>
          <w:u w:val="single"/>
        </w:rPr>
        <w:t xml:space="preserve">        </w:t>
      </w:r>
      <w:r>
        <w:rPr>
          <w:color w:val="auto"/>
          <w:szCs w:val="21"/>
          <w:highlight w:val="none"/>
        </w:rPr>
        <w:t>（姓名）为我方代理人。代理人根据授权，以我方名义签署、澄清</w:t>
      </w:r>
      <w:r>
        <w:rPr>
          <w:rFonts w:hint="eastAsia"/>
          <w:color w:val="auto"/>
          <w:szCs w:val="21"/>
          <w:highlight w:val="none"/>
        </w:rPr>
        <w:t>、说明、补正</w:t>
      </w:r>
      <w:r>
        <w:rPr>
          <w:color w:val="auto"/>
          <w:szCs w:val="21"/>
          <w:highlight w:val="none"/>
        </w:rPr>
        <w:t>、递交、撤回、修改</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（项目名称）</w:t>
      </w:r>
      <w:r>
        <w:rPr>
          <w:color w:val="auto"/>
          <w:szCs w:val="21"/>
          <w:highlight w:val="none"/>
          <w:u w:val="single"/>
        </w:rPr>
        <w:t xml:space="preserve">    </w:t>
      </w:r>
      <w:r>
        <w:rPr>
          <w:color w:val="auto"/>
          <w:szCs w:val="21"/>
          <w:highlight w:val="none"/>
        </w:rPr>
        <w:t>标段</w:t>
      </w:r>
      <w:r>
        <w:rPr>
          <w:rFonts w:hint="eastAsia"/>
          <w:color w:val="auto"/>
          <w:szCs w:val="21"/>
          <w:highlight w:val="none"/>
        </w:rPr>
        <w:t>设计竞包</w:t>
      </w:r>
      <w:r>
        <w:rPr>
          <w:color w:val="auto"/>
          <w:szCs w:val="21"/>
          <w:highlight w:val="none"/>
        </w:rPr>
        <w:t>文件</w:t>
      </w:r>
      <w:r>
        <w:rPr>
          <w:rFonts w:hint="eastAsia"/>
          <w:color w:val="auto"/>
          <w:szCs w:val="21"/>
          <w:highlight w:val="none"/>
        </w:rPr>
        <w:t>、</w:t>
      </w:r>
      <w:r>
        <w:rPr>
          <w:color w:val="auto"/>
          <w:szCs w:val="21"/>
          <w:highlight w:val="none"/>
        </w:rPr>
        <w:t>签订合同和处理有关事宜，其法律后果由我方承担。</w:t>
      </w:r>
    </w:p>
    <w:p w14:paraId="30555EF7">
      <w:pPr>
        <w:pStyle w:val="14"/>
        <w:spacing w:line="440" w:lineRule="exact"/>
        <w:ind w:left="0" w:firstLine="420" w:firstLineChars="200"/>
        <w:rPr>
          <w:color w:val="auto"/>
          <w:szCs w:val="21"/>
          <w:highlight w:val="none"/>
        </w:rPr>
      </w:pPr>
      <w:r>
        <w:rPr>
          <w:color w:val="auto"/>
          <w:szCs w:val="21"/>
          <w:highlight w:val="none"/>
        </w:rPr>
        <w:t>委托期限：</w:t>
      </w:r>
      <w:r>
        <w:rPr>
          <w:color w:val="auto"/>
          <w:highlight w:val="none"/>
        </w:rPr>
        <w:t>自本委托书签署之日起至</w:t>
      </w:r>
      <w:r>
        <w:rPr>
          <w:rFonts w:hint="eastAsia"/>
          <w:color w:val="auto"/>
          <w:highlight w:val="none"/>
        </w:rPr>
        <w:t>竞包</w:t>
      </w:r>
      <w:r>
        <w:rPr>
          <w:color w:val="auto"/>
          <w:highlight w:val="none"/>
        </w:rPr>
        <w:t>有效期期满</w:t>
      </w:r>
      <w:r>
        <w:rPr>
          <w:rFonts w:hint="eastAsia"/>
          <w:color w:val="auto"/>
          <w:szCs w:val="21"/>
          <w:highlight w:val="none"/>
        </w:rPr>
        <w:t>。</w:t>
      </w:r>
    </w:p>
    <w:p w14:paraId="729370CF">
      <w:pPr>
        <w:pStyle w:val="14"/>
        <w:spacing w:line="440" w:lineRule="exact"/>
        <w:ind w:left="0" w:firstLine="420" w:firstLineChars="200"/>
        <w:rPr>
          <w:color w:val="auto"/>
          <w:szCs w:val="21"/>
          <w:highlight w:val="none"/>
        </w:rPr>
      </w:pPr>
      <w:r>
        <w:rPr>
          <w:color w:val="auto"/>
          <w:szCs w:val="21"/>
          <w:highlight w:val="none"/>
        </w:rPr>
        <w:t>代理人无转委托权。</w:t>
      </w:r>
    </w:p>
    <w:p w14:paraId="34EDB969">
      <w:pPr>
        <w:pStyle w:val="14"/>
        <w:spacing w:line="440" w:lineRule="exact"/>
        <w:rPr>
          <w:color w:val="auto"/>
          <w:szCs w:val="21"/>
          <w:highlight w:val="none"/>
        </w:rPr>
      </w:pPr>
      <w:r>
        <w:rPr>
          <w:color w:val="auto"/>
          <w:highlight w:val="none"/>
        </w:rPr>
        <w:t>附：法定代表人身份证</w:t>
      </w:r>
      <w:r>
        <w:rPr>
          <w:rFonts w:hint="eastAsia"/>
          <w:color w:val="auto"/>
          <w:highlight w:val="none"/>
        </w:rPr>
        <w:t>扫描</w:t>
      </w:r>
      <w:r>
        <w:rPr>
          <w:color w:val="auto"/>
          <w:highlight w:val="none"/>
        </w:rPr>
        <w:t>件及委托代理人身份证</w:t>
      </w:r>
      <w:r>
        <w:rPr>
          <w:rFonts w:hint="eastAsia"/>
          <w:color w:val="auto"/>
          <w:highlight w:val="none"/>
        </w:rPr>
        <w:t>扫描</w:t>
      </w:r>
      <w:r>
        <w:rPr>
          <w:color w:val="auto"/>
          <w:highlight w:val="none"/>
        </w:rPr>
        <w:t>件</w:t>
      </w:r>
      <w:r>
        <w:rPr>
          <w:rFonts w:hint="eastAsia"/>
          <w:color w:val="auto"/>
          <w:highlight w:val="none"/>
        </w:rPr>
        <w:t>（正反双面）。</w:t>
      </w:r>
    </w:p>
    <w:p w14:paraId="7629BC02">
      <w:pPr>
        <w:pStyle w:val="14"/>
        <w:spacing w:line="440" w:lineRule="exact"/>
        <w:rPr>
          <w:color w:val="auto"/>
          <w:szCs w:val="21"/>
          <w:highlight w:val="none"/>
        </w:rPr>
      </w:pPr>
    </w:p>
    <w:p w14:paraId="6128719D">
      <w:pPr>
        <w:pStyle w:val="14"/>
        <w:spacing w:line="440" w:lineRule="exact"/>
        <w:ind w:left="2528" w:leftChars="877"/>
        <w:rPr>
          <w:color w:val="auto"/>
          <w:szCs w:val="21"/>
          <w:highlight w:val="none"/>
        </w:rPr>
      </w:pPr>
      <w:r>
        <w:rPr>
          <w:rFonts w:hint="eastAsia"/>
          <w:color w:val="auto"/>
          <w:szCs w:val="21"/>
          <w:highlight w:val="none"/>
        </w:rPr>
        <w:t>竞包</w:t>
      </w:r>
      <w:r>
        <w:rPr>
          <w:color w:val="auto"/>
          <w:szCs w:val="21"/>
          <w:highlight w:val="none"/>
        </w:rPr>
        <w:t>人：</w:t>
      </w:r>
      <w:r>
        <w:rPr>
          <w:color w:val="auto"/>
          <w:szCs w:val="21"/>
          <w:highlight w:val="none"/>
          <w:u w:val="single"/>
        </w:rPr>
        <w:t xml:space="preserve">                         </w:t>
      </w:r>
      <w:r>
        <w:rPr>
          <w:color w:val="auto"/>
          <w:szCs w:val="21"/>
          <w:highlight w:val="none"/>
        </w:rPr>
        <w:t>（</w:t>
      </w:r>
      <w:r>
        <w:rPr>
          <w:rFonts w:hint="eastAsia"/>
          <w:color w:val="auto"/>
          <w:szCs w:val="21"/>
          <w:highlight w:val="none"/>
        </w:rPr>
        <w:t>盖单位印章</w:t>
      </w:r>
      <w:r>
        <w:rPr>
          <w:color w:val="auto"/>
          <w:szCs w:val="21"/>
          <w:highlight w:val="none"/>
        </w:rPr>
        <w:t>）</w:t>
      </w:r>
    </w:p>
    <w:p w14:paraId="15AC7CD2">
      <w:pPr>
        <w:pStyle w:val="14"/>
        <w:spacing w:line="440" w:lineRule="exact"/>
        <w:ind w:left="2528" w:leftChars="877"/>
        <w:rPr>
          <w:color w:val="auto"/>
          <w:szCs w:val="21"/>
          <w:highlight w:val="none"/>
        </w:rPr>
      </w:pPr>
      <w:bookmarkStart w:id="943" w:name="_Hlk42432659"/>
      <w:r>
        <w:rPr>
          <w:color w:val="auto"/>
          <w:szCs w:val="21"/>
          <w:highlight w:val="none"/>
        </w:rPr>
        <w:t>法定代表人：</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盖法定代表人章</w:t>
      </w:r>
      <w:r>
        <w:rPr>
          <w:color w:val="auto"/>
          <w:szCs w:val="21"/>
          <w:highlight w:val="none"/>
        </w:rPr>
        <w:t>）</w:t>
      </w:r>
    </w:p>
    <w:bookmarkEnd w:id="943"/>
    <w:p w14:paraId="636168B5">
      <w:pPr>
        <w:pStyle w:val="14"/>
        <w:spacing w:line="440" w:lineRule="exact"/>
        <w:ind w:left="2528" w:leftChars="877"/>
        <w:rPr>
          <w:color w:val="auto"/>
          <w:szCs w:val="21"/>
          <w:highlight w:val="none"/>
        </w:rPr>
      </w:pPr>
      <w:r>
        <w:rPr>
          <w:color w:val="auto"/>
          <w:szCs w:val="21"/>
          <w:highlight w:val="none"/>
        </w:rPr>
        <w:t>身份证号码：</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p>
    <w:p w14:paraId="7E632FAA">
      <w:pPr>
        <w:pStyle w:val="14"/>
        <w:spacing w:line="440" w:lineRule="exact"/>
        <w:rPr>
          <w:color w:val="auto"/>
          <w:szCs w:val="21"/>
          <w:highlight w:val="none"/>
        </w:rPr>
      </w:pPr>
    </w:p>
    <w:p w14:paraId="796326F9">
      <w:pPr>
        <w:pStyle w:val="14"/>
        <w:spacing w:line="440" w:lineRule="exact"/>
        <w:ind w:left="3599" w:leftChars="1714" w:firstLine="228" w:firstLineChars="109"/>
        <w:rPr>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23D17D83">
      <w:pPr>
        <w:pStyle w:val="14"/>
        <w:spacing w:line="440" w:lineRule="exact"/>
        <w:ind w:left="3599" w:leftChars="1714" w:firstLine="228" w:firstLineChars="109"/>
        <w:rPr>
          <w:color w:val="auto"/>
          <w:szCs w:val="21"/>
          <w:highlight w:val="none"/>
        </w:rPr>
      </w:pP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02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8522" w:type="dxa"/>
            <w:vAlign w:val="center"/>
          </w:tcPr>
          <w:p w14:paraId="469695B6">
            <w:pPr>
              <w:pStyle w:val="14"/>
              <w:spacing w:line="440" w:lineRule="exact"/>
              <w:jc w:val="center"/>
              <w:rPr>
                <w:rFonts w:ascii="宋体" w:cs="宋体"/>
                <w:color w:val="auto"/>
                <w:szCs w:val="21"/>
                <w:highlight w:val="none"/>
              </w:rPr>
            </w:pPr>
            <w:r>
              <w:rPr>
                <w:rFonts w:hint="eastAsia" w:ascii="宋体" w:cs="宋体"/>
                <w:color w:val="auto"/>
                <w:szCs w:val="21"/>
                <w:highlight w:val="none"/>
              </w:rPr>
              <w:t>法定代表人身份证扫描件及委托代理人身份证扫描件</w:t>
            </w:r>
          </w:p>
        </w:tc>
      </w:tr>
    </w:tbl>
    <w:p w14:paraId="103F64DE">
      <w:pPr>
        <w:pStyle w:val="14"/>
        <w:spacing w:line="440" w:lineRule="exact"/>
        <w:rPr>
          <w:rFonts w:eastAsia="黑体"/>
          <w:color w:val="auto"/>
          <w:szCs w:val="21"/>
          <w:highlight w:val="none"/>
        </w:rPr>
      </w:pPr>
    </w:p>
    <w:p w14:paraId="2DCF27FE">
      <w:pPr>
        <w:pStyle w:val="14"/>
        <w:spacing w:line="400" w:lineRule="exact"/>
        <w:rPr>
          <w:color w:val="auto"/>
          <w:highlight w:val="none"/>
        </w:rPr>
      </w:pPr>
      <w:r>
        <w:rPr>
          <w:rFonts w:hint="eastAsia"/>
          <w:color w:val="auto"/>
          <w:szCs w:val="21"/>
          <w:highlight w:val="none"/>
        </w:rPr>
        <w:t>注：</w:t>
      </w:r>
      <w:r>
        <w:rPr>
          <w:color w:val="auto"/>
          <w:spacing w:val="-3"/>
          <w:highlight w:val="none"/>
        </w:rPr>
        <w:t>以联合体形式</w:t>
      </w:r>
      <w:r>
        <w:rPr>
          <w:rFonts w:hint="eastAsia"/>
          <w:color w:val="auto"/>
          <w:spacing w:val="-3"/>
          <w:highlight w:val="none"/>
        </w:rPr>
        <w:t>竞包</w:t>
      </w:r>
      <w:r>
        <w:rPr>
          <w:color w:val="auto"/>
          <w:spacing w:val="-3"/>
          <w:highlight w:val="none"/>
        </w:rPr>
        <w:t>的，本授权委托书应由联合体牵头人的法定代表人按上述规定签署</w:t>
      </w:r>
      <w:r>
        <w:rPr>
          <w:rFonts w:hint="eastAsia"/>
          <w:color w:val="auto"/>
          <w:highlight w:val="none"/>
        </w:rPr>
        <w:t>。</w:t>
      </w:r>
    </w:p>
    <w:p w14:paraId="3C45A41A">
      <w:pPr>
        <w:pStyle w:val="14"/>
        <w:spacing w:line="400" w:lineRule="exact"/>
        <w:ind w:firstLine="840" w:firstLineChars="400"/>
        <w:rPr>
          <w:color w:val="auto"/>
          <w:highlight w:val="none"/>
        </w:rPr>
      </w:pPr>
      <w:r>
        <w:rPr>
          <w:color w:val="auto"/>
          <w:highlight w:val="none"/>
        </w:rPr>
        <w:br w:type="page"/>
      </w:r>
    </w:p>
    <w:p w14:paraId="614535BC">
      <w:pPr>
        <w:pStyle w:val="68"/>
        <w:jc w:val="center"/>
        <w:rPr>
          <w:color w:val="auto"/>
          <w:sz w:val="30"/>
          <w:szCs w:val="30"/>
          <w:highlight w:val="none"/>
        </w:rPr>
      </w:pPr>
      <w:bookmarkStart w:id="944" w:name="_Toc9558"/>
      <w:bookmarkStart w:id="945" w:name="_Toc27893"/>
      <w:bookmarkStart w:id="946" w:name="_Toc29631"/>
      <w:bookmarkStart w:id="947" w:name="_Toc17128"/>
      <w:bookmarkStart w:id="948" w:name="_Toc9214"/>
      <w:bookmarkStart w:id="949" w:name="_Toc13654"/>
      <w:r>
        <w:rPr>
          <w:rFonts w:hint="eastAsia"/>
          <w:color w:val="auto"/>
          <w:sz w:val="30"/>
          <w:szCs w:val="30"/>
          <w:highlight w:val="none"/>
        </w:rPr>
        <w:t>（二）法定代表人身份证明</w:t>
      </w:r>
      <w:bookmarkEnd w:id="944"/>
      <w:bookmarkEnd w:id="945"/>
      <w:bookmarkEnd w:id="946"/>
      <w:bookmarkEnd w:id="947"/>
      <w:bookmarkEnd w:id="948"/>
      <w:bookmarkEnd w:id="949"/>
    </w:p>
    <w:p w14:paraId="1BB7E9C9">
      <w:pPr>
        <w:pStyle w:val="14"/>
        <w:spacing w:line="440" w:lineRule="exact"/>
        <w:rPr>
          <w:color w:val="auto"/>
          <w:szCs w:val="21"/>
          <w:highlight w:val="none"/>
        </w:rPr>
      </w:pPr>
    </w:p>
    <w:p w14:paraId="1B7C3A7E">
      <w:pPr>
        <w:pStyle w:val="14"/>
        <w:spacing w:line="440" w:lineRule="exact"/>
        <w:ind w:left="0" w:firstLine="420" w:firstLineChars="200"/>
        <w:rPr>
          <w:color w:val="auto"/>
          <w:szCs w:val="21"/>
          <w:highlight w:val="none"/>
        </w:rPr>
      </w:pPr>
      <w:r>
        <w:rPr>
          <w:rFonts w:hint="eastAsia"/>
          <w:color w:val="auto"/>
          <w:szCs w:val="21"/>
          <w:highlight w:val="none"/>
        </w:rPr>
        <w:t>竞包</w:t>
      </w:r>
      <w:r>
        <w:rPr>
          <w:color w:val="auto"/>
          <w:szCs w:val="21"/>
          <w:highlight w:val="none"/>
        </w:rPr>
        <w:t>人名称：</w:t>
      </w:r>
      <w:r>
        <w:rPr>
          <w:color w:val="auto"/>
          <w:szCs w:val="21"/>
          <w:highlight w:val="none"/>
          <w:u w:val="single"/>
        </w:rPr>
        <w:t xml:space="preserve">                            </w:t>
      </w:r>
      <w:r>
        <w:rPr>
          <w:color w:val="auto"/>
          <w:szCs w:val="21"/>
          <w:highlight w:val="none"/>
        </w:rPr>
        <w:t xml:space="preserve"> </w:t>
      </w:r>
    </w:p>
    <w:p w14:paraId="6FEDE289">
      <w:pPr>
        <w:pStyle w:val="14"/>
        <w:spacing w:line="440" w:lineRule="exact"/>
        <w:ind w:left="0" w:firstLine="420" w:firstLineChars="200"/>
        <w:rPr>
          <w:color w:val="auto"/>
          <w:szCs w:val="21"/>
          <w:highlight w:val="none"/>
        </w:rPr>
      </w:pPr>
      <w:r>
        <w:rPr>
          <w:color w:val="auto"/>
          <w:szCs w:val="21"/>
          <w:highlight w:val="none"/>
        </w:rPr>
        <w:t>姓名：</w:t>
      </w:r>
      <w:r>
        <w:rPr>
          <w:color w:val="auto"/>
          <w:szCs w:val="21"/>
          <w:highlight w:val="none"/>
          <w:u w:val="single"/>
        </w:rPr>
        <w:t xml:space="preserve">   </w:t>
      </w:r>
      <w:r>
        <w:rPr>
          <w:rFonts w:hint="eastAsia"/>
          <w:color w:val="auto"/>
          <w:szCs w:val="21"/>
          <w:highlight w:val="none"/>
          <w:u w:val="single"/>
        </w:rPr>
        <w:t xml:space="preserve"> （盖法定代表人章）</w:t>
      </w:r>
      <w:r>
        <w:rPr>
          <w:color w:val="auto"/>
          <w:szCs w:val="21"/>
          <w:highlight w:val="none"/>
          <w:u w:val="single"/>
        </w:rPr>
        <w:t xml:space="preserve">  </w:t>
      </w:r>
      <w:r>
        <w:rPr>
          <w:color w:val="auto"/>
          <w:szCs w:val="21"/>
          <w:highlight w:val="none"/>
        </w:rPr>
        <w:t xml:space="preserve"> 性别：</w:t>
      </w:r>
      <w:r>
        <w:rPr>
          <w:color w:val="auto"/>
          <w:szCs w:val="21"/>
          <w:highlight w:val="none"/>
          <w:u w:val="single"/>
        </w:rPr>
        <w:t xml:space="preserve">         </w:t>
      </w:r>
      <w:r>
        <w:rPr>
          <w:color w:val="auto"/>
          <w:szCs w:val="21"/>
          <w:highlight w:val="none"/>
        </w:rPr>
        <w:t xml:space="preserve"> 年龄：</w:t>
      </w:r>
      <w:r>
        <w:rPr>
          <w:color w:val="auto"/>
          <w:szCs w:val="21"/>
          <w:highlight w:val="none"/>
          <w:u w:val="single"/>
        </w:rPr>
        <w:t xml:space="preserve">        </w:t>
      </w:r>
      <w:r>
        <w:rPr>
          <w:color w:val="auto"/>
          <w:szCs w:val="21"/>
          <w:highlight w:val="none"/>
        </w:rPr>
        <w:t>职务：</w:t>
      </w:r>
      <w:r>
        <w:rPr>
          <w:color w:val="auto"/>
          <w:szCs w:val="21"/>
          <w:highlight w:val="none"/>
          <w:u w:val="single"/>
        </w:rPr>
        <w:t xml:space="preserve">        </w:t>
      </w:r>
      <w:r>
        <w:rPr>
          <w:color w:val="auto"/>
          <w:szCs w:val="21"/>
          <w:highlight w:val="none"/>
        </w:rPr>
        <w:t>系</w:t>
      </w:r>
      <w:r>
        <w:rPr>
          <w:color w:val="auto"/>
          <w:szCs w:val="21"/>
          <w:highlight w:val="none"/>
          <w:u w:val="single"/>
        </w:rPr>
        <w:t xml:space="preserve">  </w:t>
      </w:r>
      <w:r>
        <w:rPr>
          <w:rFonts w:hint="eastAsia"/>
          <w:color w:val="auto"/>
          <w:szCs w:val="21"/>
          <w:highlight w:val="none"/>
          <w:u w:val="single"/>
        </w:rPr>
        <w:t>（竞包</w:t>
      </w:r>
      <w:r>
        <w:rPr>
          <w:color w:val="auto"/>
          <w:szCs w:val="21"/>
          <w:highlight w:val="none"/>
          <w:u w:val="single"/>
        </w:rPr>
        <w:t>人名称</w:t>
      </w:r>
      <w:r>
        <w:rPr>
          <w:rFonts w:hint="eastAsia"/>
          <w:color w:val="auto"/>
          <w:szCs w:val="21"/>
          <w:highlight w:val="none"/>
          <w:u w:val="single"/>
        </w:rPr>
        <w:t>）</w:t>
      </w:r>
      <w:r>
        <w:rPr>
          <w:color w:val="auto"/>
          <w:szCs w:val="21"/>
          <w:highlight w:val="none"/>
        </w:rPr>
        <w:t>的法定代表人。</w:t>
      </w:r>
    </w:p>
    <w:p w14:paraId="021DF957">
      <w:pPr>
        <w:pStyle w:val="14"/>
        <w:spacing w:line="440" w:lineRule="exact"/>
        <w:rPr>
          <w:color w:val="auto"/>
          <w:szCs w:val="21"/>
          <w:highlight w:val="none"/>
        </w:rPr>
      </w:pPr>
      <w:r>
        <w:rPr>
          <w:color w:val="auto"/>
          <w:szCs w:val="21"/>
          <w:highlight w:val="none"/>
        </w:rPr>
        <w:t>特此证明。</w:t>
      </w:r>
    </w:p>
    <w:p w14:paraId="329B7C77">
      <w:pPr>
        <w:pStyle w:val="14"/>
        <w:spacing w:line="400" w:lineRule="exact"/>
        <w:rPr>
          <w:color w:val="auto"/>
          <w:szCs w:val="21"/>
          <w:highlight w:val="none"/>
        </w:rPr>
      </w:pPr>
      <w:r>
        <w:rPr>
          <w:color w:val="auto"/>
          <w:highlight w:val="none"/>
        </w:rPr>
        <w:t>附：法定代表人身份证</w:t>
      </w:r>
      <w:r>
        <w:rPr>
          <w:rFonts w:hint="eastAsia"/>
          <w:color w:val="auto"/>
          <w:highlight w:val="none"/>
        </w:rPr>
        <w:t>扫描</w:t>
      </w:r>
      <w:r>
        <w:rPr>
          <w:color w:val="auto"/>
          <w:highlight w:val="none"/>
        </w:rPr>
        <w:t>件</w:t>
      </w:r>
      <w:r>
        <w:rPr>
          <w:rFonts w:hint="eastAsia"/>
          <w:color w:val="auto"/>
          <w:highlight w:val="none"/>
        </w:rPr>
        <w:t>（正反双面）。</w:t>
      </w:r>
    </w:p>
    <w:p w14:paraId="51769AC6">
      <w:pPr>
        <w:pStyle w:val="14"/>
        <w:spacing w:line="400" w:lineRule="exact"/>
        <w:rPr>
          <w:color w:val="auto"/>
          <w:szCs w:val="21"/>
          <w:highlight w:val="none"/>
        </w:rPr>
      </w:pPr>
    </w:p>
    <w:p w14:paraId="00B6E456">
      <w:pPr>
        <w:pStyle w:val="14"/>
        <w:spacing w:line="400" w:lineRule="exact"/>
        <w:ind w:firstLine="2835" w:firstLineChars="1350"/>
        <w:rPr>
          <w:color w:val="auto"/>
          <w:szCs w:val="21"/>
          <w:highlight w:val="none"/>
        </w:rPr>
      </w:pPr>
      <w:r>
        <w:rPr>
          <w:rFonts w:hint="eastAsia"/>
          <w:color w:val="auto"/>
          <w:szCs w:val="21"/>
          <w:highlight w:val="none"/>
        </w:rPr>
        <w:t>竞包</w:t>
      </w:r>
      <w:r>
        <w:rPr>
          <w:color w:val="auto"/>
          <w:szCs w:val="21"/>
          <w:highlight w:val="none"/>
        </w:rPr>
        <w:t>人：</w:t>
      </w:r>
      <w:r>
        <w:rPr>
          <w:color w:val="auto"/>
          <w:szCs w:val="21"/>
          <w:highlight w:val="none"/>
          <w:u w:val="single"/>
        </w:rPr>
        <w:t xml:space="preserve">                        </w:t>
      </w:r>
      <w:r>
        <w:rPr>
          <w:color w:val="auto"/>
          <w:szCs w:val="21"/>
          <w:highlight w:val="none"/>
        </w:rPr>
        <w:t>（</w:t>
      </w:r>
      <w:r>
        <w:rPr>
          <w:rFonts w:hint="eastAsia"/>
          <w:color w:val="auto"/>
          <w:szCs w:val="21"/>
          <w:highlight w:val="none"/>
        </w:rPr>
        <w:t>盖单位印章</w:t>
      </w:r>
      <w:r>
        <w:rPr>
          <w:color w:val="auto"/>
          <w:szCs w:val="21"/>
          <w:highlight w:val="none"/>
        </w:rPr>
        <w:t>）</w:t>
      </w:r>
    </w:p>
    <w:p w14:paraId="68BEEA8E">
      <w:pPr>
        <w:pStyle w:val="14"/>
        <w:spacing w:line="400" w:lineRule="exact"/>
        <w:ind w:left="2528" w:leftChars="877"/>
        <w:rPr>
          <w:color w:val="auto"/>
          <w:szCs w:val="21"/>
          <w:highlight w:val="none"/>
        </w:rPr>
      </w:pPr>
      <w:r>
        <w:rPr>
          <w:color w:val="auto"/>
          <w:szCs w:val="21"/>
          <w:highlight w:val="none"/>
        </w:rPr>
        <w:t xml:space="preserve">         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w:t>
      </w:r>
      <w:r>
        <w:rPr>
          <w:rFonts w:hint="eastAsia"/>
          <w:color w:val="auto"/>
          <w:szCs w:val="21"/>
          <w:highlight w:val="none"/>
        </w:rPr>
        <w:t>盖法定代表人章</w:t>
      </w:r>
      <w:r>
        <w:rPr>
          <w:color w:val="auto"/>
          <w:szCs w:val="21"/>
          <w:highlight w:val="none"/>
        </w:rPr>
        <w:t>）</w:t>
      </w:r>
    </w:p>
    <w:p w14:paraId="5ACF4212">
      <w:pPr>
        <w:pStyle w:val="14"/>
        <w:spacing w:line="400" w:lineRule="exact"/>
        <w:rPr>
          <w:color w:val="auto"/>
          <w:szCs w:val="21"/>
          <w:highlight w:val="none"/>
        </w:rPr>
      </w:pPr>
      <w:r>
        <w:rPr>
          <w:rFonts w:hint="eastAsia"/>
          <w:color w:val="auto"/>
          <w:szCs w:val="21"/>
          <w:highlight w:val="none"/>
        </w:rPr>
        <w:t xml:space="preserve">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 xml:space="preserve">日 </w:t>
      </w:r>
    </w:p>
    <w:p w14:paraId="6EAA8A49">
      <w:pPr>
        <w:pStyle w:val="14"/>
        <w:spacing w:line="440" w:lineRule="exact"/>
        <w:rPr>
          <w:rFonts w:eastAsia="黑体"/>
          <w:color w:val="auto"/>
          <w:sz w:val="20"/>
          <w:szCs w:val="20"/>
          <w:highlight w:val="none"/>
        </w:rPr>
      </w:pPr>
    </w:p>
    <w:p w14:paraId="57FB9F79">
      <w:pPr>
        <w:pStyle w:val="14"/>
        <w:spacing w:line="440" w:lineRule="exact"/>
        <w:rPr>
          <w:rFonts w:eastAsia="黑体"/>
          <w:color w:val="auto"/>
          <w:sz w:val="20"/>
          <w:szCs w:val="20"/>
          <w:highlight w:val="none"/>
        </w:rPr>
      </w:pPr>
    </w:p>
    <w:p w14:paraId="79D44F49">
      <w:pPr>
        <w:pStyle w:val="14"/>
        <w:spacing w:line="440" w:lineRule="exact"/>
        <w:rPr>
          <w:rFonts w:ascii="宋体" w:hAnsi="宋体"/>
          <w:color w:val="auto"/>
          <w:szCs w:val="21"/>
          <w:highlight w:val="non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456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0" w:hRule="atLeast"/>
        </w:trPr>
        <w:tc>
          <w:tcPr>
            <w:tcW w:w="8522" w:type="dxa"/>
            <w:vAlign w:val="center"/>
          </w:tcPr>
          <w:p w14:paraId="2D49FCAB">
            <w:pPr>
              <w:pStyle w:val="14"/>
              <w:spacing w:line="440" w:lineRule="exact"/>
              <w:jc w:val="center"/>
              <w:rPr>
                <w:rFonts w:ascii="宋体" w:cs="宋体"/>
                <w:color w:val="auto"/>
                <w:szCs w:val="21"/>
                <w:highlight w:val="none"/>
              </w:rPr>
            </w:pPr>
            <w:r>
              <w:rPr>
                <w:rFonts w:hint="eastAsia" w:ascii="宋体" w:cs="宋体"/>
                <w:color w:val="auto"/>
                <w:szCs w:val="21"/>
                <w:highlight w:val="none"/>
              </w:rPr>
              <w:t>法定代表人身份证扫描件</w:t>
            </w:r>
          </w:p>
        </w:tc>
      </w:tr>
    </w:tbl>
    <w:p w14:paraId="1E928413">
      <w:pPr>
        <w:pStyle w:val="62"/>
        <w:jc w:val="center"/>
        <w:rPr>
          <w:color w:val="auto"/>
          <w:sz w:val="30"/>
          <w:szCs w:val="30"/>
          <w:highlight w:val="none"/>
        </w:rPr>
      </w:pPr>
      <w:r>
        <w:rPr>
          <w:color w:val="auto"/>
          <w:szCs w:val="21"/>
          <w:highlight w:val="none"/>
        </w:rPr>
        <w:br w:type="page"/>
      </w:r>
      <w:bookmarkEnd w:id="922"/>
      <w:bookmarkStart w:id="950" w:name="_Toc431197945"/>
      <w:bookmarkStart w:id="951" w:name="_Toc21517"/>
      <w:bookmarkStart w:id="952" w:name="_Toc32433"/>
      <w:bookmarkStart w:id="953" w:name="_Toc11109"/>
      <w:bookmarkStart w:id="954" w:name="_Toc337816939"/>
      <w:bookmarkStart w:id="955" w:name="_Toc16898"/>
      <w:bookmarkStart w:id="956" w:name="_Toc3390"/>
      <w:bookmarkStart w:id="957" w:name="_Toc429988853"/>
      <w:bookmarkStart w:id="958" w:name="_Toc12937"/>
      <w:bookmarkStart w:id="959" w:name="_Toc452019286"/>
      <w:bookmarkStart w:id="960" w:name="_Hlk42507099"/>
      <w:bookmarkStart w:id="961" w:name="_Toc144974862"/>
      <w:r>
        <w:rPr>
          <w:rFonts w:hint="eastAsia"/>
          <w:color w:val="auto"/>
          <w:sz w:val="30"/>
          <w:szCs w:val="30"/>
          <w:highlight w:val="none"/>
        </w:rPr>
        <w:t>三</w:t>
      </w:r>
      <w:r>
        <w:rPr>
          <w:color w:val="auto"/>
          <w:sz w:val="30"/>
          <w:szCs w:val="30"/>
          <w:highlight w:val="none"/>
        </w:rPr>
        <w:t>、</w:t>
      </w:r>
      <w:r>
        <w:rPr>
          <w:rFonts w:hint="eastAsia"/>
          <w:color w:val="auto"/>
          <w:sz w:val="30"/>
          <w:szCs w:val="30"/>
          <w:highlight w:val="none"/>
        </w:rPr>
        <w:t>联合体协议书</w:t>
      </w:r>
      <w:bookmarkEnd w:id="950"/>
      <w:bookmarkEnd w:id="951"/>
      <w:bookmarkEnd w:id="952"/>
      <w:bookmarkEnd w:id="953"/>
      <w:bookmarkEnd w:id="954"/>
      <w:bookmarkEnd w:id="955"/>
      <w:bookmarkEnd w:id="956"/>
      <w:bookmarkEnd w:id="957"/>
      <w:bookmarkEnd w:id="958"/>
      <w:bookmarkEnd w:id="959"/>
    </w:p>
    <w:p w14:paraId="0F008D5E">
      <w:pPr>
        <w:pStyle w:val="14"/>
        <w:spacing w:line="400" w:lineRule="exact"/>
        <w:ind w:firstLine="420" w:firstLineChars="200"/>
        <w:jc w:val="center"/>
        <w:rPr>
          <w:color w:val="auto"/>
          <w:szCs w:val="21"/>
          <w:highlight w:val="none"/>
        </w:rPr>
      </w:pPr>
      <w:r>
        <w:rPr>
          <w:rFonts w:hint="eastAsia"/>
          <w:color w:val="auto"/>
          <w:szCs w:val="21"/>
          <w:highlight w:val="none"/>
        </w:rPr>
        <w:t>（如有）</w:t>
      </w:r>
    </w:p>
    <w:p w14:paraId="7A6E930C">
      <w:pPr>
        <w:pStyle w:val="14"/>
        <w:spacing w:line="400" w:lineRule="exact"/>
        <w:ind w:left="0" w:firstLine="630" w:firstLineChars="300"/>
        <w:rPr>
          <w:color w:val="auto"/>
          <w:highlight w:val="none"/>
        </w:rPr>
      </w:pPr>
      <w:r>
        <w:rPr>
          <w:rFonts w:eastAsia="Times New Roman"/>
          <w:color w:val="auto"/>
          <w:highlight w:val="none"/>
          <w:u w:val="single"/>
        </w:rPr>
        <w:tab/>
      </w:r>
      <w:r>
        <w:rPr>
          <w:rFonts w:hint="eastAsia"/>
          <w:color w:val="auto"/>
          <w:highlight w:val="none"/>
          <w:u w:val="single"/>
        </w:rPr>
        <w:t xml:space="preserve">                </w:t>
      </w:r>
      <w:r>
        <w:rPr>
          <w:rFonts w:hint="eastAsia" w:ascii="黑体" w:eastAsia="黑体"/>
          <w:color w:val="auto"/>
          <w:highlight w:val="none"/>
        </w:rPr>
        <w:t>（</w:t>
      </w:r>
      <w:r>
        <w:rPr>
          <w:color w:val="auto"/>
          <w:highlight w:val="none"/>
        </w:rPr>
        <w:t>所有成员单位名</w:t>
      </w:r>
      <w:r>
        <w:rPr>
          <w:color w:val="auto"/>
          <w:spacing w:val="3"/>
          <w:highlight w:val="none"/>
        </w:rPr>
        <w:t>称</w:t>
      </w:r>
      <w:r>
        <w:rPr>
          <w:color w:val="auto"/>
          <w:highlight w:val="none"/>
        </w:rPr>
        <w:t>）自愿组成</w:t>
      </w:r>
      <w:r>
        <w:rPr>
          <w:color w:val="auto"/>
          <w:highlight w:val="none"/>
          <w:u w:val="single"/>
        </w:rPr>
        <w:t xml:space="preserve"> </w:t>
      </w:r>
      <w:r>
        <w:rPr>
          <w:color w:val="auto"/>
          <w:highlight w:val="none"/>
          <w:u w:val="single"/>
        </w:rPr>
        <w:tab/>
      </w:r>
      <w:r>
        <w:rPr>
          <w:color w:val="auto"/>
          <w:highlight w:val="none"/>
        </w:rPr>
        <w:t>（联合体名称</w:t>
      </w:r>
      <w:r>
        <w:rPr>
          <w:color w:val="auto"/>
          <w:spacing w:val="3"/>
          <w:highlight w:val="none"/>
        </w:rPr>
        <w:t>）</w:t>
      </w:r>
      <w:r>
        <w:rPr>
          <w:color w:val="auto"/>
          <w:spacing w:val="-16"/>
          <w:highlight w:val="none"/>
        </w:rPr>
        <w:t>联</w:t>
      </w:r>
      <w:r>
        <w:rPr>
          <w:color w:val="auto"/>
          <w:highlight w:val="none"/>
        </w:rPr>
        <w:t>合体</w:t>
      </w:r>
      <w:r>
        <w:rPr>
          <w:color w:val="auto"/>
          <w:spacing w:val="-20"/>
          <w:highlight w:val="none"/>
        </w:rPr>
        <w:t>，</w:t>
      </w:r>
      <w:r>
        <w:rPr>
          <w:color w:val="auto"/>
          <w:highlight w:val="none"/>
        </w:rPr>
        <w:t>共同参加</w:t>
      </w:r>
      <w:r>
        <w:rPr>
          <w:color w:val="auto"/>
          <w:highlight w:val="none"/>
          <w:u w:val="single"/>
        </w:rPr>
        <w:t xml:space="preserve"> </w:t>
      </w:r>
      <w:r>
        <w:rPr>
          <w:color w:val="auto"/>
          <w:highlight w:val="none"/>
          <w:u w:val="single"/>
        </w:rPr>
        <w:tab/>
      </w:r>
      <w:r>
        <w:rPr>
          <w:rFonts w:hint="eastAsia"/>
          <w:color w:val="auto"/>
          <w:highlight w:val="none"/>
          <w:u w:val="single"/>
        </w:rPr>
        <w:t xml:space="preserve">      </w:t>
      </w:r>
      <w:r>
        <w:rPr>
          <w:color w:val="auto"/>
          <w:highlight w:val="none"/>
          <w:u w:val="single"/>
        </w:rPr>
        <w:tab/>
      </w:r>
      <w:r>
        <w:rPr>
          <w:color w:val="auto"/>
          <w:highlight w:val="none"/>
        </w:rPr>
        <w:t>（项目名称</w:t>
      </w:r>
      <w:r>
        <w:rPr>
          <w:color w:val="auto"/>
          <w:spacing w:val="-20"/>
          <w:highlight w:val="none"/>
        </w:rPr>
        <w:t>）</w:t>
      </w:r>
      <w:r>
        <w:rPr>
          <w:color w:val="auto"/>
          <w:spacing w:val="-20"/>
          <w:highlight w:val="none"/>
          <w:u w:val="single"/>
        </w:rPr>
        <w:t xml:space="preserve">    </w:t>
      </w:r>
      <w:r>
        <w:rPr>
          <w:color w:val="auto"/>
          <w:highlight w:val="none"/>
        </w:rPr>
        <w:t>标段</w:t>
      </w:r>
      <w:r>
        <w:rPr>
          <w:rFonts w:hint="eastAsia"/>
          <w:color w:val="auto"/>
          <w:highlight w:val="none"/>
        </w:rPr>
        <w:t>设计竞包</w:t>
      </w:r>
      <w:r>
        <w:rPr>
          <w:color w:val="auto"/>
          <w:spacing w:val="-20"/>
          <w:highlight w:val="none"/>
        </w:rPr>
        <w:t>。</w:t>
      </w:r>
      <w:r>
        <w:rPr>
          <w:color w:val="auto"/>
          <w:highlight w:val="none"/>
        </w:rPr>
        <w:t>现就联合体</w:t>
      </w:r>
      <w:r>
        <w:rPr>
          <w:rFonts w:hint="eastAsia"/>
          <w:color w:val="auto"/>
          <w:highlight w:val="none"/>
        </w:rPr>
        <w:t>竞包</w:t>
      </w:r>
      <w:r>
        <w:rPr>
          <w:color w:val="auto"/>
          <w:highlight w:val="none"/>
        </w:rPr>
        <w:t>事宜订立如下协议</w:t>
      </w:r>
      <w:r>
        <w:rPr>
          <w:rFonts w:hint="eastAsia"/>
          <w:color w:val="auto"/>
          <w:highlight w:val="none"/>
        </w:rPr>
        <w:t>。</w:t>
      </w:r>
    </w:p>
    <w:p w14:paraId="24E8122C">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rPr>
        <w:t>（某成员单位名称）为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rPr>
        <w:t>（联合体名称）牵头人</w:t>
      </w:r>
      <w:r>
        <w:rPr>
          <w:rFonts w:hint="eastAsia" w:ascii="宋体" w:hAnsi="宋体"/>
          <w:color w:val="auto"/>
          <w:szCs w:val="21"/>
          <w:highlight w:val="none"/>
        </w:rPr>
        <w:t>。</w:t>
      </w:r>
    </w:p>
    <w:p w14:paraId="59290BDA">
      <w:pPr>
        <w:pStyle w:val="14"/>
        <w:spacing w:line="400" w:lineRule="exact"/>
        <w:ind w:left="0" w:firstLine="420" w:firstLineChars="200"/>
        <w:rPr>
          <w:color w:val="auto"/>
          <w:highlight w:val="none"/>
        </w:rPr>
      </w:pPr>
      <w:r>
        <w:rPr>
          <w:rFonts w:hint="eastAsia"/>
          <w:color w:val="auto"/>
          <w:highlight w:val="none"/>
        </w:rPr>
        <w:t>2</w:t>
      </w:r>
      <w:r>
        <w:rPr>
          <w:rFonts w:hint="eastAsia" w:ascii="宋体" w:hAnsi="宋体"/>
          <w:color w:val="auto"/>
          <w:szCs w:val="21"/>
          <w:highlight w:val="none"/>
        </w:rPr>
        <w:t>.</w:t>
      </w:r>
      <w:r>
        <w:rPr>
          <w:color w:val="auto"/>
          <w:highlight w:val="none"/>
        </w:rPr>
        <w:t>联合体各成员授权牵头人代表联合体参加</w:t>
      </w:r>
      <w:r>
        <w:rPr>
          <w:rFonts w:hint="eastAsia"/>
          <w:color w:val="auto"/>
          <w:highlight w:val="none"/>
        </w:rPr>
        <w:t>竞包</w:t>
      </w:r>
      <w:r>
        <w:rPr>
          <w:color w:val="auto"/>
          <w:highlight w:val="none"/>
        </w:rPr>
        <w:t>活动，签署文件，提交和接收相关的资料、信息及指示，进行合同谈判活动，负责合同实施阶段的组织和协调工作，以及处理与本</w:t>
      </w:r>
      <w:r>
        <w:rPr>
          <w:rFonts w:hint="eastAsia"/>
          <w:color w:val="auto"/>
          <w:highlight w:val="none"/>
        </w:rPr>
        <w:t>发包</w:t>
      </w:r>
      <w:r>
        <w:rPr>
          <w:color w:val="auto"/>
          <w:highlight w:val="none"/>
        </w:rPr>
        <w:t>项目有关的一切事宜</w:t>
      </w:r>
      <w:r>
        <w:rPr>
          <w:rFonts w:hint="eastAsia"/>
          <w:color w:val="auto"/>
          <w:highlight w:val="none"/>
        </w:rPr>
        <w:t>。</w:t>
      </w:r>
    </w:p>
    <w:p w14:paraId="60C7C5C3">
      <w:pPr>
        <w:pStyle w:val="14"/>
        <w:spacing w:line="400" w:lineRule="exact"/>
        <w:ind w:left="0" w:firstLine="420" w:firstLineChars="200"/>
        <w:rPr>
          <w:color w:val="auto"/>
          <w:highlight w:val="none"/>
        </w:rPr>
      </w:pPr>
      <w:r>
        <w:rPr>
          <w:rFonts w:hint="eastAsia"/>
          <w:color w:val="auto"/>
          <w:highlight w:val="none"/>
        </w:rPr>
        <w:t>3</w:t>
      </w:r>
      <w:r>
        <w:rPr>
          <w:rFonts w:hint="eastAsia" w:ascii="宋体" w:hAnsi="宋体"/>
          <w:color w:val="auto"/>
          <w:szCs w:val="21"/>
          <w:highlight w:val="none"/>
        </w:rPr>
        <w:t>.</w:t>
      </w:r>
      <w:r>
        <w:rPr>
          <w:color w:val="auto"/>
          <w:highlight w:val="none"/>
        </w:rPr>
        <w:t>联合体牵头人在本项目中签署的一切文件和处理的一切事宜，联合体各成员均予以承认。联合体各成员将严格按照</w:t>
      </w:r>
      <w:r>
        <w:rPr>
          <w:rFonts w:hint="eastAsia"/>
          <w:color w:val="auto"/>
          <w:highlight w:val="none"/>
        </w:rPr>
        <w:t>发包</w:t>
      </w:r>
      <w:r>
        <w:rPr>
          <w:color w:val="auto"/>
          <w:highlight w:val="none"/>
        </w:rPr>
        <w:t>文件、</w:t>
      </w:r>
      <w:r>
        <w:rPr>
          <w:rFonts w:hint="eastAsia"/>
          <w:color w:val="auto"/>
          <w:highlight w:val="none"/>
        </w:rPr>
        <w:t>竞包</w:t>
      </w:r>
      <w:r>
        <w:rPr>
          <w:color w:val="auto"/>
          <w:highlight w:val="none"/>
        </w:rPr>
        <w:t>文件和合同的要求全面履行义务，并向</w:t>
      </w:r>
      <w:r>
        <w:rPr>
          <w:rFonts w:hint="eastAsia"/>
          <w:color w:val="auto"/>
          <w:highlight w:val="none"/>
        </w:rPr>
        <w:t>发包</w:t>
      </w:r>
      <w:r>
        <w:rPr>
          <w:color w:val="auto"/>
          <w:highlight w:val="none"/>
        </w:rPr>
        <w:t>人承担连带责任</w:t>
      </w:r>
      <w:r>
        <w:rPr>
          <w:rFonts w:hint="eastAsia"/>
          <w:color w:val="auto"/>
          <w:highlight w:val="none"/>
        </w:rPr>
        <w:t>。</w:t>
      </w:r>
    </w:p>
    <w:p w14:paraId="5FE9F8D4">
      <w:pPr>
        <w:pStyle w:val="14"/>
        <w:spacing w:line="400" w:lineRule="exact"/>
        <w:ind w:left="0" w:firstLine="420" w:firstLineChars="200"/>
        <w:rPr>
          <w:color w:val="auto"/>
          <w:highlight w:val="none"/>
        </w:rPr>
      </w:pPr>
      <w:r>
        <w:rPr>
          <w:rFonts w:hint="eastAsia"/>
          <w:color w:val="auto"/>
          <w:highlight w:val="none"/>
        </w:rPr>
        <w:t>4</w:t>
      </w:r>
      <w:r>
        <w:rPr>
          <w:rFonts w:hint="eastAsia" w:ascii="宋体" w:hAnsi="宋体"/>
          <w:color w:val="auto"/>
          <w:szCs w:val="21"/>
          <w:highlight w:val="none"/>
        </w:rPr>
        <w:t>.</w:t>
      </w:r>
      <w:r>
        <w:rPr>
          <w:color w:val="auto"/>
          <w:highlight w:val="none"/>
        </w:rPr>
        <w:t>联合体各成员单位内部的职责分工如下：</w:t>
      </w:r>
      <w:r>
        <w:rPr>
          <w:color w:val="auto"/>
          <w:highlight w:val="none"/>
          <w:u w:val="single"/>
        </w:rPr>
        <w:t>（牵头人名称）</w:t>
      </w:r>
      <w:r>
        <w:rPr>
          <w:color w:val="auto"/>
          <w:highlight w:val="none"/>
        </w:rPr>
        <w:t>承担</w:t>
      </w:r>
      <w:r>
        <w:rPr>
          <w:color w:val="auto"/>
          <w:highlight w:val="none"/>
          <w:u w:val="single"/>
        </w:rPr>
        <w:t xml:space="preserve"> </w:t>
      </w:r>
      <w:r>
        <w:rPr>
          <w:color w:val="auto"/>
          <w:highlight w:val="none"/>
          <w:u w:val="single"/>
        </w:rPr>
        <w:tab/>
      </w:r>
      <w:r>
        <w:rPr>
          <w:color w:val="auto"/>
          <w:highlight w:val="none"/>
        </w:rPr>
        <w:t>专业工程，占总工程量的</w:t>
      </w:r>
      <w:r>
        <w:rPr>
          <w:color w:val="auto"/>
          <w:highlight w:val="none"/>
          <w:u w:val="single"/>
        </w:rPr>
        <w:t xml:space="preserve"> </w:t>
      </w:r>
      <w:r>
        <w:rPr>
          <w:color w:val="auto"/>
          <w:highlight w:val="none"/>
          <w:u w:val="single"/>
        </w:rPr>
        <w:tab/>
      </w:r>
      <w:r>
        <w:rPr>
          <w:color w:val="auto"/>
          <w:highlight w:val="none"/>
        </w:rPr>
        <w:t>%；</w:t>
      </w:r>
      <w:r>
        <w:rPr>
          <w:rFonts w:hint="eastAsia"/>
          <w:color w:val="auto"/>
          <w:highlight w:val="none"/>
          <w:u w:val="single"/>
        </w:rPr>
        <w:t>（</w:t>
      </w:r>
      <w:r>
        <w:rPr>
          <w:color w:val="auto"/>
          <w:highlight w:val="none"/>
          <w:u w:val="single"/>
        </w:rPr>
        <w:t>成员一名称）</w:t>
      </w:r>
      <w:r>
        <w:rPr>
          <w:color w:val="auto"/>
          <w:highlight w:val="none"/>
        </w:rPr>
        <w:t>承担</w:t>
      </w:r>
      <w:r>
        <w:rPr>
          <w:color w:val="auto"/>
          <w:highlight w:val="none"/>
          <w:u w:val="single"/>
        </w:rPr>
        <w:t xml:space="preserve"> </w:t>
      </w:r>
      <w:r>
        <w:rPr>
          <w:color w:val="auto"/>
          <w:highlight w:val="none"/>
          <w:u w:val="single"/>
        </w:rPr>
        <w:tab/>
      </w:r>
      <w:r>
        <w:rPr>
          <w:color w:val="auto"/>
          <w:highlight w:val="none"/>
        </w:rPr>
        <w:t>专业工程总工程量的</w:t>
      </w:r>
      <w:r>
        <w:rPr>
          <w:color w:val="auto"/>
          <w:highlight w:val="none"/>
          <w:u w:val="single"/>
        </w:rPr>
        <w:t xml:space="preserve"> </w:t>
      </w:r>
      <w:r>
        <w:rPr>
          <w:color w:val="auto"/>
          <w:highlight w:val="none"/>
          <w:u w:val="single"/>
        </w:rPr>
        <w:tab/>
      </w:r>
      <w:r>
        <w:rPr>
          <w:color w:val="auto"/>
          <w:highlight w:val="none"/>
        </w:rPr>
        <w:t>%</w:t>
      </w:r>
      <w:r>
        <w:rPr>
          <w:rFonts w:hint="eastAsia"/>
          <w:color w:val="auto"/>
          <w:highlight w:val="none"/>
        </w:rPr>
        <w:t>；……。</w:t>
      </w:r>
    </w:p>
    <w:p w14:paraId="6C1E5F4E">
      <w:pPr>
        <w:pStyle w:val="14"/>
        <w:spacing w:line="400" w:lineRule="exact"/>
        <w:ind w:left="0" w:firstLine="420" w:firstLineChars="200"/>
        <w:rPr>
          <w:rFonts w:ascii="宋体" w:hAnsi="宋体"/>
          <w:color w:val="auto"/>
          <w:szCs w:val="21"/>
          <w:highlight w:val="none"/>
        </w:rPr>
      </w:pPr>
      <w:r>
        <w:rPr>
          <w:rFonts w:hint="eastAsia"/>
          <w:color w:val="auto"/>
          <w:highlight w:val="none"/>
        </w:rPr>
        <w:t>5</w:t>
      </w:r>
      <w:r>
        <w:rPr>
          <w:rFonts w:hint="eastAsia" w:ascii="宋体" w:hAnsi="宋体"/>
          <w:color w:val="auto"/>
          <w:szCs w:val="21"/>
          <w:highlight w:val="none"/>
        </w:rPr>
        <w:t>.</w:t>
      </w:r>
      <w:r>
        <w:rPr>
          <w:rFonts w:hint="eastAsia"/>
          <w:color w:val="auto"/>
          <w:highlight w:val="none"/>
        </w:rPr>
        <w:t>竞包</w:t>
      </w:r>
      <w:r>
        <w:rPr>
          <w:color w:val="auto"/>
          <w:highlight w:val="none"/>
        </w:rPr>
        <w:t>工作和联合体在</w:t>
      </w:r>
      <w:r>
        <w:rPr>
          <w:rFonts w:hint="eastAsia"/>
          <w:color w:val="auto"/>
          <w:highlight w:val="none"/>
        </w:rPr>
        <w:t>中包</w:t>
      </w:r>
      <w:r>
        <w:rPr>
          <w:color w:val="auto"/>
          <w:highlight w:val="none"/>
        </w:rPr>
        <w:t>后工程实施过程中的有关费用按各自承担的工作量分摊</w:t>
      </w:r>
      <w:r>
        <w:rPr>
          <w:rFonts w:hint="eastAsia"/>
          <w:color w:val="auto"/>
          <w:highlight w:val="none"/>
        </w:rPr>
        <w:t>。</w:t>
      </w:r>
    </w:p>
    <w:p w14:paraId="6C43AAD7">
      <w:pPr>
        <w:pStyle w:val="14"/>
        <w:spacing w:line="400" w:lineRule="exact"/>
        <w:ind w:left="0" w:firstLine="420" w:firstLineChars="200"/>
        <w:rPr>
          <w:rFonts w:ascii="宋体" w:hAnsi="宋体"/>
          <w:color w:val="auto"/>
          <w:szCs w:val="21"/>
          <w:highlight w:val="none"/>
        </w:rPr>
      </w:pPr>
      <w:r>
        <w:rPr>
          <w:rFonts w:hint="eastAsia" w:ascii="宋体" w:hAnsi="宋体"/>
          <w:color w:val="auto"/>
          <w:szCs w:val="21"/>
          <w:highlight w:val="none"/>
        </w:rPr>
        <w:t>6.</w:t>
      </w:r>
      <w:r>
        <w:rPr>
          <w:color w:val="auto"/>
          <w:highlight w:val="none"/>
        </w:rPr>
        <w:t>本协议书自所有成员单位法定代表人签字或盖单位章之日起生效，合同履行完毕后自动失效</w:t>
      </w:r>
      <w:r>
        <w:rPr>
          <w:rFonts w:hint="eastAsia"/>
          <w:color w:val="auto"/>
          <w:highlight w:val="none"/>
        </w:rPr>
        <w:t>。</w:t>
      </w:r>
    </w:p>
    <w:p w14:paraId="37B50E01">
      <w:pPr>
        <w:pStyle w:val="14"/>
        <w:spacing w:line="400" w:lineRule="exact"/>
        <w:ind w:left="0" w:firstLine="420" w:firstLineChars="200"/>
        <w:rPr>
          <w:color w:val="auto"/>
          <w:szCs w:val="21"/>
          <w:highlight w:val="none"/>
        </w:rPr>
      </w:pPr>
      <w:r>
        <w:rPr>
          <w:rFonts w:hint="eastAsia" w:ascii="宋体" w:hAnsi="宋体"/>
          <w:color w:val="auto"/>
          <w:szCs w:val="21"/>
          <w:highlight w:val="none"/>
        </w:rPr>
        <w:t>7.</w:t>
      </w:r>
      <w:r>
        <w:rPr>
          <w:color w:val="auto"/>
          <w:szCs w:val="21"/>
          <w:highlight w:val="none"/>
        </w:rPr>
        <w:t>本协议书一式</w:t>
      </w:r>
      <w:r>
        <w:rPr>
          <w:color w:val="auto"/>
          <w:szCs w:val="21"/>
          <w:highlight w:val="none"/>
          <w:u w:val="single"/>
        </w:rPr>
        <w:t xml:space="preserve"> </w:t>
      </w:r>
      <w:r>
        <w:rPr>
          <w:color w:val="auto"/>
          <w:szCs w:val="21"/>
          <w:highlight w:val="none"/>
          <w:u w:val="single"/>
        </w:rPr>
        <w:tab/>
      </w:r>
      <w:r>
        <w:rPr>
          <w:color w:val="auto"/>
          <w:szCs w:val="21"/>
          <w:highlight w:val="none"/>
        </w:rPr>
        <w:t>份，联合体成员和</w:t>
      </w:r>
      <w:r>
        <w:rPr>
          <w:rFonts w:hint="eastAsia"/>
          <w:color w:val="auto"/>
          <w:szCs w:val="21"/>
          <w:highlight w:val="none"/>
        </w:rPr>
        <w:t>发包</w:t>
      </w:r>
      <w:r>
        <w:rPr>
          <w:color w:val="auto"/>
          <w:szCs w:val="21"/>
          <w:highlight w:val="none"/>
        </w:rPr>
        <w:t>人各执一份</w:t>
      </w:r>
      <w:r>
        <w:rPr>
          <w:rFonts w:hint="eastAsia"/>
          <w:color w:val="auto"/>
          <w:szCs w:val="21"/>
          <w:highlight w:val="none"/>
        </w:rPr>
        <w:t>。</w:t>
      </w:r>
    </w:p>
    <w:p w14:paraId="09E0171D">
      <w:pPr>
        <w:pStyle w:val="14"/>
        <w:spacing w:line="400" w:lineRule="exact"/>
        <w:ind w:firstLine="420" w:firstLineChars="200"/>
        <w:rPr>
          <w:color w:val="auto"/>
          <w:szCs w:val="21"/>
          <w:highlight w:val="none"/>
        </w:rPr>
      </w:pPr>
    </w:p>
    <w:p w14:paraId="4BF3F5B0">
      <w:pPr>
        <w:pStyle w:val="14"/>
        <w:spacing w:line="400" w:lineRule="exact"/>
        <w:ind w:firstLine="420" w:firstLineChars="200"/>
        <w:rPr>
          <w:color w:val="auto"/>
          <w:highlight w:val="none"/>
        </w:rPr>
      </w:pPr>
      <w:r>
        <w:rPr>
          <w:color w:val="auto"/>
          <w:highlight w:val="none"/>
        </w:rPr>
        <w:t>联合体牵头人名称：</w:t>
      </w:r>
      <w:r>
        <w:rPr>
          <w:rFonts w:hint="eastAsia"/>
          <w:color w:val="auto"/>
          <w:highlight w:val="none"/>
          <w:u w:val="single"/>
        </w:rPr>
        <w:t xml:space="preserve">          </w:t>
      </w:r>
      <w:r>
        <w:rPr>
          <w:rFonts w:hint="eastAsia"/>
          <w:color w:val="auto"/>
          <w:highlight w:val="none"/>
        </w:rPr>
        <w:t>（盖单位印章）</w:t>
      </w:r>
    </w:p>
    <w:p w14:paraId="0FCFB085">
      <w:pPr>
        <w:pStyle w:val="14"/>
        <w:spacing w:line="400" w:lineRule="exact"/>
        <w:ind w:firstLine="420" w:firstLineChars="200"/>
        <w:rPr>
          <w:color w:val="auto"/>
          <w:highlight w:val="none"/>
        </w:rPr>
      </w:pPr>
      <w:r>
        <w:rPr>
          <w:color w:val="auto"/>
          <w:highlight w:val="none"/>
        </w:rPr>
        <w:t>法定代表人：</w:t>
      </w:r>
      <w:r>
        <w:rPr>
          <w:rFonts w:hint="eastAsia"/>
          <w:color w:val="auto"/>
          <w:highlight w:val="none"/>
          <w:u w:val="single"/>
        </w:rPr>
        <w:t xml:space="preserve">            </w:t>
      </w:r>
      <w:r>
        <w:rPr>
          <w:rFonts w:hint="eastAsia"/>
          <w:color w:val="auto"/>
          <w:highlight w:val="none"/>
        </w:rPr>
        <w:t>（盖法定代表人章）</w:t>
      </w:r>
    </w:p>
    <w:p w14:paraId="0DADF26C">
      <w:pPr>
        <w:pStyle w:val="14"/>
        <w:spacing w:line="400" w:lineRule="exact"/>
        <w:ind w:firstLine="420" w:firstLineChars="200"/>
        <w:rPr>
          <w:color w:val="auto"/>
          <w:highlight w:val="none"/>
        </w:rPr>
      </w:pPr>
    </w:p>
    <w:p w14:paraId="083DEB11">
      <w:pPr>
        <w:pStyle w:val="14"/>
        <w:spacing w:line="400" w:lineRule="exact"/>
        <w:ind w:firstLine="420" w:firstLineChars="200"/>
        <w:rPr>
          <w:color w:val="auto"/>
          <w:highlight w:val="none"/>
        </w:rPr>
      </w:pPr>
      <w:r>
        <w:rPr>
          <w:color w:val="auto"/>
          <w:highlight w:val="none"/>
        </w:rPr>
        <w:t>联合体成员名称：</w:t>
      </w:r>
      <w:r>
        <w:rPr>
          <w:rFonts w:hint="eastAsia"/>
          <w:color w:val="auto"/>
          <w:highlight w:val="none"/>
          <w:u w:val="single"/>
        </w:rPr>
        <w:t xml:space="preserve">            </w:t>
      </w:r>
      <w:r>
        <w:rPr>
          <w:rFonts w:hint="eastAsia"/>
          <w:color w:val="auto"/>
          <w:highlight w:val="none"/>
        </w:rPr>
        <w:t>（盖单位印章）</w:t>
      </w:r>
    </w:p>
    <w:p w14:paraId="7B4C18C0">
      <w:pPr>
        <w:pStyle w:val="14"/>
        <w:spacing w:line="400" w:lineRule="exact"/>
        <w:ind w:firstLine="420" w:firstLineChars="200"/>
        <w:rPr>
          <w:color w:val="auto"/>
          <w:highlight w:val="none"/>
        </w:rPr>
      </w:pPr>
      <w:r>
        <w:rPr>
          <w:color w:val="auto"/>
          <w:highlight w:val="none"/>
        </w:rPr>
        <w:t>法定代表人：</w:t>
      </w:r>
      <w:r>
        <w:rPr>
          <w:rFonts w:hint="eastAsia"/>
          <w:color w:val="auto"/>
          <w:highlight w:val="none"/>
          <w:u w:val="single"/>
        </w:rPr>
        <w:t xml:space="preserve">            </w:t>
      </w:r>
      <w:r>
        <w:rPr>
          <w:rFonts w:hint="eastAsia"/>
          <w:color w:val="auto"/>
          <w:highlight w:val="none"/>
        </w:rPr>
        <w:t>（盖法定代表人章）</w:t>
      </w:r>
    </w:p>
    <w:p w14:paraId="661078B0">
      <w:pPr>
        <w:pStyle w:val="14"/>
        <w:spacing w:line="400" w:lineRule="exact"/>
        <w:ind w:firstLine="420" w:firstLineChars="200"/>
        <w:rPr>
          <w:color w:val="auto"/>
          <w:highlight w:val="none"/>
        </w:rPr>
      </w:pPr>
    </w:p>
    <w:p w14:paraId="17603A7F">
      <w:pPr>
        <w:pStyle w:val="14"/>
        <w:spacing w:line="400" w:lineRule="exact"/>
        <w:ind w:firstLine="420" w:firstLineChars="200"/>
        <w:rPr>
          <w:color w:val="auto"/>
          <w:highlight w:val="none"/>
        </w:rPr>
      </w:pPr>
    </w:p>
    <w:p w14:paraId="7528085C">
      <w:pPr>
        <w:pStyle w:val="14"/>
        <w:spacing w:line="400" w:lineRule="exact"/>
        <w:ind w:firstLine="4200" w:firstLineChars="2000"/>
        <w:rPr>
          <w:color w:val="auto"/>
          <w:highlight w:val="none"/>
        </w:rPr>
      </w:pP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 xml:space="preserve">日 </w:t>
      </w:r>
      <w:bookmarkEnd w:id="960"/>
    </w:p>
    <w:p w14:paraId="03354BEA">
      <w:pPr>
        <w:pStyle w:val="14"/>
        <w:spacing w:line="440" w:lineRule="exact"/>
        <w:ind w:firstLine="4200" w:firstLineChars="2000"/>
        <w:rPr>
          <w:color w:val="auto"/>
          <w:highlight w:val="none"/>
        </w:rPr>
      </w:pPr>
    </w:p>
    <w:p w14:paraId="402421D5">
      <w:pPr>
        <w:pStyle w:val="62"/>
        <w:jc w:val="center"/>
        <w:rPr>
          <w:color w:val="auto"/>
          <w:sz w:val="30"/>
          <w:szCs w:val="30"/>
          <w:highlight w:val="none"/>
        </w:rPr>
      </w:pPr>
      <w:bookmarkStart w:id="962" w:name="_Toc152042583"/>
      <w:bookmarkStart w:id="963" w:name="_Toc179632814"/>
      <w:bookmarkStart w:id="964" w:name="_Toc21774"/>
      <w:bookmarkStart w:id="965" w:name="_Toc152045794"/>
      <w:r>
        <w:rPr>
          <w:rFonts w:hint="eastAsia"/>
          <w:color w:val="auto"/>
          <w:sz w:val="30"/>
          <w:szCs w:val="30"/>
          <w:highlight w:val="none"/>
        </w:rPr>
        <w:br w:type="page"/>
      </w:r>
      <w:bookmarkStart w:id="966" w:name="_Toc6082"/>
      <w:bookmarkStart w:id="967" w:name="_Toc24406"/>
      <w:bookmarkStart w:id="968" w:name="_Toc25572"/>
      <w:bookmarkStart w:id="969" w:name="_Toc8308"/>
      <w:bookmarkStart w:id="970" w:name="_Toc24016"/>
      <w:r>
        <w:rPr>
          <w:rFonts w:hint="eastAsia"/>
          <w:color w:val="auto"/>
          <w:sz w:val="30"/>
          <w:szCs w:val="30"/>
          <w:highlight w:val="none"/>
        </w:rPr>
        <w:t>四</w:t>
      </w:r>
      <w:r>
        <w:rPr>
          <w:color w:val="auto"/>
          <w:sz w:val="30"/>
          <w:szCs w:val="30"/>
          <w:highlight w:val="none"/>
        </w:rPr>
        <w:t>、</w:t>
      </w:r>
      <w:r>
        <w:rPr>
          <w:rFonts w:hint="eastAsia"/>
          <w:color w:val="auto"/>
          <w:sz w:val="30"/>
          <w:szCs w:val="30"/>
          <w:highlight w:val="none"/>
        </w:rPr>
        <w:t>竞包</w:t>
      </w:r>
      <w:r>
        <w:rPr>
          <w:color w:val="auto"/>
          <w:sz w:val="30"/>
          <w:szCs w:val="30"/>
          <w:highlight w:val="none"/>
        </w:rPr>
        <w:t>保证金</w:t>
      </w:r>
      <w:bookmarkEnd w:id="961"/>
      <w:bookmarkEnd w:id="962"/>
      <w:bookmarkEnd w:id="963"/>
      <w:bookmarkEnd w:id="964"/>
      <w:bookmarkEnd w:id="965"/>
      <w:bookmarkEnd w:id="966"/>
      <w:bookmarkEnd w:id="967"/>
      <w:bookmarkEnd w:id="968"/>
      <w:bookmarkEnd w:id="969"/>
      <w:bookmarkEnd w:id="970"/>
    </w:p>
    <w:p w14:paraId="44444E96">
      <w:pPr>
        <w:pStyle w:val="14"/>
        <w:spacing w:line="440" w:lineRule="exact"/>
        <w:rPr>
          <w:color w:val="auto"/>
          <w:szCs w:val="21"/>
          <w:highlight w:val="none"/>
        </w:rPr>
      </w:pPr>
    </w:p>
    <w:p w14:paraId="56D8A049">
      <w:pPr>
        <w:pStyle w:val="14"/>
        <w:ind w:firstLine="420" w:firstLineChars="200"/>
        <w:rPr>
          <w:color w:val="auto"/>
          <w:highlight w:val="none"/>
        </w:rPr>
      </w:pPr>
      <w:r>
        <w:rPr>
          <w:rFonts w:hint="eastAsia"/>
          <w:color w:val="auto"/>
          <w:szCs w:val="21"/>
          <w:highlight w:val="none"/>
        </w:rPr>
        <w:t>本项目无须递交竞包保证金。</w:t>
      </w:r>
      <w:r>
        <w:rPr>
          <w:color w:val="auto"/>
          <w:szCs w:val="21"/>
          <w:highlight w:val="none"/>
        </w:rPr>
        <w:br w:type="page"/>
      </w:r>
      <w:bookmarkStart w:id="971" w:name="_Hlk42507272"/>
    </w:p>
    <w:p w14:paraId="7764F6C2">
      <w:pPr>
        <w:pStyle w:val="62"/>
        <w:jc w:val="center"/>
        <w:rPr>
          <w:color w:val="auto"/>
          <w:sz w:val="30"/>
          <w:szCs w:val="30"/>
          <w:highlight w:val="none"/>
        </w:rPr>
      </w:pPr>
      <w:bookmarkStart w:id="972" w:name="_Toc10363"/>
      <w:bookmarkStart w:id="973" w:name="_Toc14848"/>
      <w:bookmarkStart w:id="974" w:name="_Toc288646160"/>
      <w:bookmarkStart w:id="975" w:name="_Toc24349"/>
      <w:bookmarkStart w:id="976" w:name="_Toc7606"/>
      <w:bookmarkStart w:id="977" w:name="_Toc29956"/>
      <w:bookmarkStart w:id="978" w:name="_Toc15760"/>
      <w:r>
        <w:rPr>
          <w:rFonts w:hint="eastAsia"/>
          <w:color w:val="auto"/>
          <w:sz w:val="30"/>
          <w:szCs w:val="30"/>
          <w:highlight w:val="none"/>
        </w:rPr>
        <w:t>五、拟分包项目情况表</w:t>
      </w:r>
      <w:bookmarkEnd w:id="972"/>
      <w:bookmarkEnd w:id="973"/>
      <w:bookmarkEnd w:id="974"/>
      <w:bookmarkEnd w:id="975"/>
      <w:bookmarkEnd w:id="976"/>
    </w:p>
    <w:bookmarkEnd w:id="971"/>
    <w:bookmarkEnd w:id="977"/>
    <w:bookmarkEnd w:id="978"/>
    <w:tbl>
      <w:tblPr>
        <w:tblStyle w:val="34"/>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68"/>
        <w:gridCol w:w="1844"/>
        <w:gridCol w:w="1561"/>
        <w:gridCol w:w="2550"/>
        <w:gridCol w:w="1844"/>
      </w:tblGrid>
      <w:tr w14:paraId="5F46B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1668" w:type="dxa"/>
            <w:vAlign w:val="center"/>
          </w:tcPr>
          <w:p w14:paraId="4C2B2795">
            <w:pPr>
              <w:autoSpaceDE w:val="0"/>
              <w:autoSpaceDN w:val="0"/>
              <w:jc w:val="center"/>
              <w:rPr>
                <w:rFonts w:ascii="Calibri" w:hAnsi="Calibri"/>
                <w:color w:val="auto"/>
                <w:sz w:val="22"/>
                <w:highlight w:val="none"/>
              </w:rPr>
            </w:pPr>
            <w:r>
              <w:rPr>
                <w:rFonts w:hint="eastAsia"/>
                <w:color w:val="auto"/>
                <w:szCs w:val="21"/>
                <w:highlight w:val="none"/>
              </w:rPr>
              <w:t xml:space="preserve"> </w:t>
            </w:r>
            <w:r>
              <w:rPr>
                <w:rFonts w:ascii="Calibri" w:hAnsi="Calibri"/>
                <w:color w:val="auto"/>
                <w:sz w:val="22"/>
                <w:highlight w:val="none"/>
              </w:rPr>
              <w:t>拟分包的工程</w:t>
            </w:r>
          </w:p>
          <w:p w14:paraId="61E84409">
            <w:pPr>
              <w:autoSpaceDE w:val="0"/>
              <w:autoSpaceDN w:val="0"/>
              <w:jc w:val="center"/>
              <w:rPr>
                <w:rFonts w:ascii="Calibri" w:hAnsi="Calibri"/>
                <w:color w:val="auto"/>
                <w:sz w:val="22"/>
                <w:highlight w:val="none"/>
              </w:rPr>
            </w:pPr>
            <w:r>
              <w:rPr>
                <w:rFonts w:ascii="Calibri" w:hAnsi="Calibri"/>
                <w:color w:val="auto"/>
                <w:sz w:val="22"/>
                <w:highlight w:val="none"/>
              </w:rPr>
              <w:t>项目</w:t>
            </w:r>
          </w:p>
        </w:tc>
        <w:tc>
          <w:tcPr>
            <w:tcW w:w="1844" w:type="dxa"/>
            <w:vAlign w:val="center"/>
          </w:tcPr>
          <w:p w14:paraId="728DF856">
            <w:pPr>
              <w:autoSpaceDE w:val="0"/>
              <w:autoSpaceDN w:val="0"/>
              <w:jc w:val="center"/>
              <w:rPr>
                <w:rFonts w:ascii="Calibri" w:hAnsi="Calibri"/>
                <w:color w:val="auto"/>
                <w:sz w:val="22"/>
                <w:highlight w:val="none"/>
              </w:rPr>
            </w:pPr>
            <w:r>
              <w:rPr>
                <w:rFonts w:ascii="Calibri" w:hAnsi="Calibri"/>
                <w:color w:val="auto"/>
                <w:sz w:val="22"/>
                <w:highlight w:val="none"/>
              </w:rPr>
              <w:t>主要工程内容</w:t>
            </w:r>
          </w:p>
        </w:tc>
        <w:tc>
          <w:tcPr>
            <w:tcW w:w="1561" w:type="dxa"/>
            <w:vAlign w:val="center"/>
          </w:tcPr>
          <w:p w14:paraId="634A52BB">
            <w:pPr>
              <w:autoSpaceDE w:val="0"/>
              <w:autoSpaceDN w:val="0"/>
              <w:jc w:val="center"/>
              <w:rPr>
                <w:rFonts w:ascii="Calibri" w:hAnsi="Calibri"/>
                <w:color w:val="auto"/>
                <w:sz w:val="22"/>
                <w:highlight w:val="none"/>
              </w:rPr>
            </w:pPr>
            <w:r>
              <w:rPr>
                <w:rFonts w:hint="eastAsia" w:ascii="Calibri" w:hAnsi="Calibri"/>
                <w:color w:val="auto"/>
                <w:sz w:val="22"/>
                <w:highlight w:val="none"/>
              </w:rPr>
              <w:t>设计</w:t>
            </w:r>
            <w:r>
              <w:rPr>
                <w:rFonts w:ascii="Calibri" w:hAnsi="Calibri"/>
                <w:color w:val="auto"/>
                <w:sz w:val="22"/>
                <w:highlight w:val="none"/>
              </w:rPr>
              <w:t>任务</w:t>
            </w:r>
          </w:p>
        </w:tc>
        <w:tc>
          <w:tcPr>
            <w:tcW w:w="2550" w:type="dxa"/>
            <w:vAlign w:val="center"/>
          </w:tcPr>
          <w:p w14:paraId="2CC69A80">
            <w:pPr>
              <w:autoSpaceDE w:val="0"/>
              <w:autoSpaceDN w:val="0"/>
              <w:jc w:val="center"/>
              <w:rPr>
                <w:rFonts w:ascii="Calibri" w:hAnsi="Calibri"/>
                <w:color w:val="auto"/>
                <w:sz w:val="22"/>
                <w:highlight w:val="none"/>
              </w:rPr>
            </w:pPr>
            <w:r>
              <w:rPr>
                <w:rFonts w:ascii="Calibri" w:hAnsi="Calibri"/>
                <w:color w:val="auto"/>
                <w:sz w:val="22"/>
                <w:highlight w:val="none"/>
              </w:rPr>
              <w:t>分包工作量占总工作量的比例</w:t>
            </w:r>
            <w:r>
              <w:rPr>
                <w:rFonts w:hint="eastAsia" w:ascii="Calibri" w:hAnsi="Calibri"/>
                <w:color w:val="auto"/>
                <w:sz w:val="22"/>
                <w:highlight w:val="none"/>
              </w:rPr>
              <w:t>（%）</w:t>
            </w:r>
          </w:p>
        </w:tc>
        <w:tc>
          <w:tcPr>
            <w:tcW w:w="1844" w:type="dxa"/>
            <w:vAlign w:val="center"/>
          </w:tcPr>
          <w:p w14:paraId="074A3C24">
            <w:pPr>
              <w:autoSpaceDE w:val="0"/>
              <w:autoSpaceDN w:val="0"/>
              <w:jc w:val="center"/>
              <w:rPr>
                <w:rFonts w:ascii="Calibri" w:hAnsi="Calibri"/>
                <w:color w:val="auto"/>
                <w:sz w:val="22"/>
                <w:highlight w:val="none"/>
              </w:rPr>
            </w:pPr>
            <w:r>
              <w:rPr>
                <w:rFonts w:ascii="Calibri" w:hAnsi="Calibri"/>
                <w:color w:val="auto"/>
                <w:sz w:val="22"/>
                <w:highlight w:val="none"/>
              </w:rPr>
              <w:t>备注</w:t>
            </w:r>
          </w:p>
        </w:tc>
      </w:tr>
      <w:tr w14:paraId="5F2C2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1668" w:type="dxa"/>
            <w:vAlign w:val="center"/>
          </w:tcPr>
          <w:p w14:paraId="4C0C0E86">
            <w:pPr>
              <w:autoSpaceDE w:val="0"/>
              <w:autoSpaceDN w:val="0"/>
              <w:rPr>
                <w:rFonts w:ascii="Calibri" w:hAnsi="Calibri"/>
                <w:color w:val="auto"/>
                <w:sz w:val="22"/>
                <w:highlight w:val="none"/>
              </w:rPr>
            </w:pPr>
          </w:p>
        </w:tc>
        <w:tc>
          <w:tcPr>
            <w:tcW w:w="1844" w:type="dxa"/>
            <w:vAlign w:val="center"/>
          </w:tcPr>
          <w:p w14:paraId="67CE373C">
            <w:pPr>
              <w:autoSpaceDE w:val="0"/>
              <w:autoSpaceDN w:val="0"/>
              <w:rPr>
                <w:rFonts w:ascii="Calibri" w:hAnsi="Calibri"/>
                <w:color w:val="auto"/>
                <w:sz w:val="22"/>
                <w:highlight w:val="none"/>
              </w:rPr>
            </w:pPr>
          </w:p>
        </w:tc>
        <w:tc>
          <w:tcPr>
            <w:tcW w:w="1561" w:type="dxa"/>
            <w:vAlign w:val="center"/>
          </w:tcPr>
          <w:p w14:paraId="25F1D3F7">
            <w:pPr>
              <w:autoSpaceDE w:val="0"/>
              <w:autoSpaceDN w:val="0"/>
              <w:rPr>
                <w:rFonts w:ascii="Calibri" w:hAnsi="Calibri"/>
                <w:color w:val="auto"/>
                <w:sz w:val="22"/>
                <w:highlight w:val="none"/>
              </w:rPr>
            </w:pPr>
          </w:p>
        </w:tc>
        <w:tc>
          <w:tcPr>
            <w:tcW w:w="2550" w:type="dxa"/>
            <w:vAlign w:val="center"/>
          </w:tcPr>
          <w:p w14:paraId="31E5C3D6">
            <w:pPr>
              <w:autoSpaceDE w:val="0"/>
              <w:autoSpaceDN w:val="0"/>
              <w:rPr>
                <w:rFonts w:ascii="Calibri" w:hAnsi="Calibri"/>
                <w:color w:val="auto"/>
                <w:sz w:val="22"/>
                <w:highlight w:val="none"/>
              </w:rPr>
            </w:pPr>
          </w:p>
        </w:tc>
        <w:tc>
          <w:tcPr>
            <w:tcW w:w="1844" w:type="dxa"/>
            <w:vMerge w:val="restart"/>
            <w:vAlign w:val="center"/>
          </w:tcPr>
          <w:p w14:paraId="7FBF1CC1">
            <w:pPr>
              <w:autoSpaceDE w:val="0"/>
              <w:autoSpaceDN w:val="0"/>
              <w:rPr>
                <w:rFonts w:ascii="Calibri" w:hAnsi="Calibri"/>
                <w:color w:val="auto"/>
                <w:sz w:val="22"/>
                <w:highlight w:val="none"/>
              </w:rPr>
            </w:pPr>
            <w:r>
              <w:rPr>
                <w:rFonts w:ascii="Calibri" w:hAnsi="Calibri"/>
                <w:color w:val="auto"/>
                <w:sz w:val="22"/>
                <w:highlight w:val="none"/>
              </w:rPr>
              <w:t>若无分包计划</w:t>
            </w:r>
            <w:r>
              <w:rPr>
                <w:rFonts w:hint="eastAsia" w:ascii="Calibri" w:hAnsi="Calibri"/>
                <w:color w:val="auto"/>
                <w:sz w:val="22"/>
                <w:highlight w:val="none"/>
              </w:rPr>
              <w:t>，</w:t>
            </w:r>
            <w:r>
              <w:rPr>
                <w:rFonts w:ascii="Calibri" w:hAnsi="Calibri"/>
                <w:color w:val="auto"/>
                <w:sz w:val="22"/>
                <w:highlight w:val="none"/>
              </w:rPr>
              <w:t>则</w:t>
            </w:r>
            <w:r>
              <w:rPr>
                <w:rFonts w:hint="eastAsia" w:ascii="Calibri" w:hAnsi="Calibri"/>
                <w:color w:val="auto"/>
                <w:sz w:val="22"/>
                <w:highlight w:val="none"/>
              </w:rPr>
              <w:t>竞包</w:t>
            </w:r>
            <w:r>
              <w:rPr>
                <w:rFonts w:ascii="Calibri" w:hAnsi="Calibri"/>
                <w:color w:val="auto"/>
                <w:sz w:val="22"/>
                <w:highlight w:val="none"/>
              </w:rPr>
              <w:t>人应在本表填写</w:t>
            </w:r>
            <w:r>
              <w:rPr>
                <w:rFonts w:hint="eastAsia" w:ascii="Calibri" w:hAnsi="Calibri"/>
                <w:color w:val="auto"/>
                <w:sz w:val="22"/>
                <w:highlight w:val="none"/>
              </w:rPr>
              <w:t>“无”。</w:t>
            </w:r>
          </w:p>
        </w:tc>
      </w:tr>
      <w:tr w14:paraId="2F4BE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8" w:hRule="atLeast"/>
        </w:trPr>
        <w:tc>
          <w:tcPr>
            <w:tcW w:w="1668" w:type="dxa"/>
            <w:vAlign w:val="center"/>
          </w:tcPr>
          <w:p w14:paraId="3A2917A4">
            <w:pPr>
              <w:autoSpaceDE w:val="0"/>
              <w:autoSpaceDN w:val="0"/>
              <w:rPr>
                <w:rFonts w:ascii="Calibri" w:hAnsi="Calibri"/>
                <w:color w:val="auto"/>
                <w:sz w:val="22"/>
                <w:highlight w:val="none"/>
              </w:rPr>
            </w:pPr>
          </w:p>
        </w:tc>
        <w:tc>
          <w:tcPr>
            <w:tcW w:w="1844" w:type="dxa"/>
            <w:vAlign w:val="center"/>
          </w:tcPr>
          <w:p w14:paraId="3DB023CB">
            <w:pPr>
              <w:autoSpaceDE w:val="0"/>
              <w:autoSpaceDN w:val="0"/>
              <w:rPr>
                <w:rFonts w:ascii="Calibri" w:hAnsi="Calibri"/>
                <w:color w:val="auto"/>
                <w:sz w:val="22"/>
                <w:highlight w:val="none"/>
              </w:rPr>
            </w:pPr>
          </w:p>
        </w:tc>
        <w:tc>
          <w:tcPr>
            <w:tcW w:w="1561" w:type="dxa"/>
            <w:vAlign w:val="center"/>
          </w:tcPr>
          <w:p w14:paraId="0F2A76C6">
            <w:pPr>
              <w:autoSpaceDE w:val="0"/>
              <w:autoSpaceDN w:val="0"/>
              <w:rPr>
                <w:rFonts w:ascii="Calibri" w:hAnsi="Calibri"/>
                <w:color w:val="auto"/>
                <w:sz w:val="22"/>
                <w:highlight w:val="none"/>
              </w:rPr>
            </w:pPr>
          </w:p>
        </w:tc>
        <w:tc>
          <w:tcPr>
            <w:tcW w:w="2550" w:type="dxa"/>
            <w:vAlign w:val="center"/>
          </w:tcPr>
          <w:p w14:paraId="0FB1286E">
            <w:pPr>
              <w:autoSpaceDE w:val="0"/>
              <w:autoSpaceDN w:val="0"/>
              <w:rPr>
                <w:rFonts w:ascii="Calibri" w:hAnsi="Calibri"/>
                <w:color w:val="auto"/>
                <w:sz w:val="22"/>
                <w:highlight w:val="none"/>
              </w:rPr>
            </w:pPr>
          </w:p>
        </w:tc>
        <w:tc>
          <w:tcPr>
            <w:tcW w:w="1844" w:type="dxa"/>
            <w:vMerge w:val="continue"/>
            <w:tcBorders>
              <w:top w:val="nil"/>
            </w:tcBorders>
            <w:vAlign w:val="center"/>
          </w:tcPr>
          <w:p w14:paraId="1F7CCF20">
            <w:pPr>
              <w:autoSpaceDE w:val="0"/>
              <w:autoSpaceDN w:val="0"/>
              <w:rPr>
                <w:rFonts w:ascii="Calibri" w:hAnsi="Calibri"/>
                <w:color w:val="auto"/>
                <w:sz w:val="22"/>
                <w:highlight w:val="none"/>
              </w:rPr>
            </w:pPr>
          </w:p>
        </w:tc>
      </w:tr>
      <w:tr w14:paraId="0458C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4300F291">
            <w:pPr>
              <w:autoSpaceDE w:val="0"/>
              <w:autoSpaceDN w:val="0"/>
              <w:rPr>
                <w:rFonts w:ascii="Calibri" w:hAnsi="Calibri"/>
                <w:color w:val="auto"/>
                <w:sz w:val="22"/>
                <w:highlight w:val="none"/>
              </w:rPr>
            </w:pPr>
          </w:p>
        </w:tc>
        <w:tc>
          <w:tcPr>
            <w:tcW w:w="1844" w:type="dxa"/>
            <w:vAlign w:val="center"/>
          </w:tcPr>
          <w:p w14:paraId="5253AE48">
            <w:pPr>
              <w:autoSpaceDE w:val="0"/>
              <w:autoSpaceDN w:val="0"/>
              <w:rPr>
                <w:rFonts w:ascii="Calibri" w:hAnsi="Calibri"/>
                <w:color w:val="auto"/>
                <w:sz w:val="22"/>
                <w:highlight w:val="none"/>
              </w:rPr>
            </w:pPr>
          </w:p>
        </w:tc>
        <w:tc>
          <w:tcPr>
            <w:tcW w:w="1561" w:type="dxa"/>
            <w:vAlign w:val="center"/>
          </w:tcPr>
          <w:p w14:paraId="385A8EF1">
            <w:pPr>
              <w:autoSpaceDE w:val="0"/>
              <w:autoSpaceDN w:val="0"/>
              <w:rPr>
                <w:rFonts w:ascii="Calibri" w:hAnsi="Calibri"/>
                <w:color w:val="auto"/>
                <w:sz w:val="22"/>
                <w:highlight w:val="none"/>
              </w:rPr>
            </w:pPr>
          </w:p>
        </w:tc>
        <w:tc>
          <w:tcPr>
            <w:tcW w:w="2550" w:type="dxa"/>
            <w:vAlign w:val="center"/>
          </w:tcPr>
          <w:p w14:paraId="69650CE1">
            <w:pPr>
              <w:autoSpaceDE w:val="0"/>
              <w:autoSpaceDN w:val="0"/>
              <w:rPr>
                <w:rFonts w:ascii="Calibri" w:hAnsi="Calibri"/>
                <w:color w:val="auto"/>
                <w:sz w:val="22"/>
                <w:highlight w:val="none"/>
              </w:rPr>
            </w:pPr>
          </w:p>
        </w:tc>
        <w:tc>
          <w:tcPr>
            <w:tcW w:w="1844" w:type="dxa"/>
            <w:vMerge w:val="continue"/>
            <w:tcBorders>
              <w:top w:val="nil"/>
            </w:tcBorders>
            <w:vAlign w:val="center"/>
          </w:tcPr>
          <w:p w14:paraId="290B988A">
            <w:pPr>
              <w:autoSpaceDE w:val="0"/>
              <w:autoSpaceDN w:val="0"/>
              <w:rPr>
                <w:rFonts w:ascii="Calibri" w:hAnsi="Calibri"/>
                <w:color w:val="auto"/>
                <w:sz w:val="22"/>
                <w:highlight w:val="none"/>
              </w:rPr>
            </w:pPr>
          </w:p>
        </w:tc>
      </w:tr>
      <w:tr w14:paraId="6AABC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1668" w:type="dxa"/>
            <w:vAlign w:val="center"/>
          </w:tcPr>
          <w:p w14:paraId="06CDC88B">
            <w:pPr>
              <w:autoSpaceDE w:val="0"/>
              <w:autoSpaceDN w:val="0"/>
              <w:rPr>
                <w:rFonts w:ascii="Calibri" w:hAnsi="Calibri"/>
                <w:color w:val="auto"/>
                <w:sz w:val="22"/>
                <w:highlight w:val="none"/>
              </w:rPr>
            </w:pPr>
          </w:p>
        </w:tc>
        <w:tc>
          <w:tcPr>
            <w:tcW w:w="1844" w:type="dxa"/>
            <w:vAlign w:val="center"/>
          </w:tcPr>
          <w:p w14:paraId="2369A6D5">
            <w:pPr>
              <w:autoSpaceDE w:val="0"/>
              <w:autoSpaceDN w:val="0"/>
              <w:rPr>
                <w:rFonts w:ascii="Calibri" w:hAnsi="Calibri"/>
                <w:color w:val="auto"/>
                <w:sz w:val="22"/>
                <w:highlight w:val="none"/>
              </w:rPr>
            </w:pPr>
          </w:p>
        </w:tc>
        <w:tc>
          <w:tcPr>
            <w:tcW w:w="1561" w:type="dxa"/>
            <w:vAlign w:val="center"/>
          </w:tcPr>
          <w:p w14:paraId="1C6DF7F2">
            <w:pPr>
              <w:autoSpaceDE w:val="0"/>
              <w:autoSpaceDN w:val="0"/>
              <w:rPr>
                <w:rFonts w:ascii="Calibri" w:hAnsi="Calibri"/>
                <w:color w:val="auto"/>
                <w:sz w:val="22"/>
                <w:highlight w:val="none"/>
              </w:rPr>
            </w:pPr>
          </w:p>
        </w:tc>
        <w:tc>
          <w:tcPr>
            <w:tcW w:w="2550" w:type="dxa"/>
            <w:vAlign w:val="center"/>
          </w:tcPr>
          <w:p w14:paraId="08C941E6">
            <w:pPr>
              <w:autoSpaceDE w:val="0"/>
              <w:autoSpaceDN w:val="0"/>
              <w:rPr>
                <w:rFonts w:ascii="Calibri" w:hAnsi="Calibri"/>
                <w:color w:val="auto"/>
                <w:sz w:val="22"/>
                <w:highlight w:val="none"/>
              </w:rPr>
            </w:pPr>
          </w:p>
        </w:tc>
        <w:tc>
          <w:tcPr>
            <w:tcW w:w="1844" w:type="dxa"/>
            <w:vMerge w:val="continue"/>
            <w:tcBorders>
              <w:top w:val="nil"/>
            </w:tcBorders>
            <w:vAlign w:val="center"/>
          </w:tcPr>
          <w:p w14:paraId="3A8D0800">
            <w:pPr>
              <w:autoSpaceDE w:val="0"/>
              <w:autoSpaceDN w:val="0"/>
              <w:rPr>
                <w:rFonts w:ascii="Calibri" w:hAnsi="Calibri"/>
                <w:color w:val="auto"/>
                <w:sz w:val="22"/>
                <w:highlight w:val="none"/>
              </w:rPr>
            </w:pPr>
          </w:p>
        </w:tc>
      </w:tr>
      <w:tr w14:paraId="356E6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668" w:type="dxa"/>
            <w:vAlign w:val="center"/>
          </w:tcPr>
          <w:p w14:paraId="32135050">
            <w:pPr>
              <w:autoSpaceDE w:val="0"/>
              <w:autoSpaceDN w:val="0"/>
              <w:rPr>
                <w:rFonts w:ascii="Calibri" w:hAnsi="Calibri"/>
                <w:color w:val="auto"/>
                <w:sz w:val="22"/>
                <w:highlight w:val="none"/>
              </w:rPr>
            </w:pPr>
          </w:p>
        </w:tc>
        <w:tc>
          <w:tcPr>
            <w:tcW w:w="1844" w:type="dxa"/>
            <w:vAlign w:val="center"/>
          </w:tcPr>
          <w:p w14:paraId="73602C4C">
            <w:pPr>
              <w:autoSpaceDE w:val="0"/>
              <w:autoSpaceDN w:val="0"/>
              <w:rPr>
                <w:rFonts w:ascii="Calibri" w:hAnsi="Calibri"/>
                <w:color w:val="auto"/>
                <w:sz w:val="22"/>
                <w:highlight w:val="none"/>
              </w:rPr>
            </w:pPr>
          </w:p>
        </w:tc>
        <w:tc>
          <w:tcPr>
            <w:tcW w:w="1561" w:type="dxa"/>
            <w:vAlign w:val="center"/>
          </w:tcPr>
          <w:p w14:paraId="7B897EB2">
            <w:pPr>
              <w:autoSpaceDE w:val="0"/>
              <w:autoSpaceDN w:val="0"/>
              <w:rPr>
                <w:rFonts w:ascii="Calibri" w:hAnsi="Calibri"/>
                <w:color w:val="auto"/>
                <w:sz w:val="22"/>
                <w:highlight w:val="none"/>
              </w:rPr>
            </w:pPr>
          </w:p>
        </w:tc>
        <w:tc>
          <w:tcPr>
            <w:tcW w:w="2550" w:type="dxa"/>
            <w:vAlign w:val="center"/>
          </w:tcPr>
          <w:p w14:paraId="6AF9AC31">
            <w:pPr>
              <w:autoSpaceDE w:val="0"/>
              <w:autoSpaceDN w:val="0"/>
              <w:rPr>
                <w:rFonts w:ascii="Calibri" w:hAnsi="Calibri"/>
                <w:color w:val="auto"/>
                <w:sz w:val="22"/>
                <w:highlight w:val="none"/>
              </w:rPr>
            </w:pPr>
          </w:p>
        </w:tc>
        <w:tc>
          <w:tcPr>
            <w:tcW w:w="1844" w:type="dxa"/>
            <w:vMerge w:val="continue"/>
            <w:tcBorders>
              <w:top w:val="nil"/>
            </w:tcBorders>
            <w:vAlign w:val="center"/>
          </w:tcPr>
          <w:p w14:paraId="3F768F15">
            <w:pPr>
              <w:autoSpaceDE w:val="0"/>
              <w:autoSpaceDN w:val="0"/>
              <w:rPr>
                <w:rFonts w:ascii="Calibri" w:hAnsi="Calibri"/>
                <w:color w:val="auto"/>
                <w:sz w:val="22"/>
                <w:highlight w:val="none"/>
              </w:rPr>
            </w:pPr>
          </w:p>
        </w:tc>
      </w:tr>
      <w:tr w14:paraId="651F6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54E68E1D">
            <w:pPr>
              <w:autoSpaceDE w:val="0"/>
              <w:autoSpaceDN w:val="0"/>
              <w:rPr>
                <w:rFonts w:ascii="Calibri" w:hAnsi="Calibri"/>
                <w:color w:val="auto"/>
                <w:sz w:val="22"/>
                <w:highlight w:val="none"/>
              </w:rPr>
            </w:pPr>
          </w:p>
        </w:tc>
        <w:tc>
          <w:tcPr>
            <w:tcW w:w="1844" w:type="dxa"/>
            <w:vAlign w:val="center"/>
          </w:tcPr>
          <w:p w14:paraId="6352D343">
            <w:pPr>
              <w:autoSpaceDE w:val="0"/>
              <w:autoSpaceDN w:val="0"/>
              <w:rPr>
                <w:rFonts w:ascii="Calibri" w:hAnsi="Calibri"/>
                <w:color w:val="auto"/>
                <w:sz w:val="22"/>
                <w:highlight w:val="none"/>
              </w:rPr>
            </w:pPr>
          </w:p>
        </w:tc>
        <w:tc>
          <w:tcPr>
            <w:tcW w:w="1561" w:type="dxa"/>
            <w:vAlign w:val="center"/>
          </w:tcPr>
          <w:p w14:paraId="7F111D6F">
            <w:pPr>
              <w:autoSpaceDE w:val="0"/>
              <w:autoSpaceDN w:val="0"/>
              <w:rPr>
                <w:rFonts w:ascii="Calibri" w:hAnsi="Calibri"/>
                <w:color w:val="auto"/>
                <w:sz w:val="22"/>
                <w:highlight w:val="none"/>
              </w:rPr>
            </w:pPr>
          </w:p>
        </w:tc>
        <w:tc>
          <w:tcPr>
            <w:tcW w:w="2550" w:type="dxa"/>
            <w:vAlign w:val="center"/>
          </w:tcPr>
          <w:p w14:paraId="1ABD4E28">
            <w:pPr>
              <w:autoSpaceDE w:val="0"/>
              <w:autoSpaceDN w:val="0"/>
              <w:rPr>
                <w:rFonts w:ascii="Calibri" w:hAnsi="Calibri"/>
                <w:color w:val="auto"/>
                <w:sz w:val="22"/>
                <w:highlight w:val="none"/>
              </w:rPr>
            </w:pPr>
          </w:p>
        </w:tc>
        <w:tc>
          <w:tcPr>
            <w:tcW w:w="1844" w:type="dxa"/>
            <w:vMerge w:val="continue"/>
            <w:tcBorders>
              <w:top w:val="nil"/>
            </w:tcBorders>
            <w:vAlign w:val="center"/>
          </w:tcPr>
          <w:p w14:paraId="2703F557">
            <w:pPr>
              <w:autoSpaceDE w:val="0"/>
              <w:autoSpaceDN w:val="0"/>
              <w:rPr>
                <w:rFonts w:ascii="Calibri" w:hAnsi="Calibri"/>
                <w:color w:val="auto"/>
                <w:sz w:val="22"/>
                <w:highlight w:val="none"/>
              </w:rPr>
            </w:pPr>
          </w:p>
        </w:tc>
      </w:tr>
      <w:tr w14:paraId="153AD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78712D2F">
            <w:pPr>
              <w:autoSpaceDE w:val="0"/>
              <w:autoSpaceDN w:val="0"/>
              <w:rPr>
                <w:rFonts w:ascii="Calibri" w:hAnsi="Calibri"/>
                <w:color w:val="auto"/>
                <w:sz w:val="22"/>
                <w:highlight w:val="none"/>
              </w:rPr>
            </w:pPr>
          </w:p>
        </w:tc>
        <w:tc>
          <w:tcPr>
            <w:tcW w:w="1844" w:type="dxa"/>
            <w:vAlign w:val="center"/>
          </w:tcPr>
          <w:p w14:paraId="2DBFB18E">
            <w:pPr>
              <w:autoSpaceDE w:val="0"/>
              <w:autoSpaceDN w:val="0"/>
              <w:rPr>
                <w:rFonts w:ascii="Calibri" w:hAnsi="Calibri"/>
                <w:color w:val="auto"/>
                <w:sz w:val="22"/>
                <w:highlight w:val="none"/>
              </w:rPr>
            </w:pPr>
          </w:p>
        </w:tc>
        <w:tc>
          <w:tcPr>
            <w:tcW w:w="1561" w:type="dxa"/>
            <w:vAlign w:val="center"/>
          </w:tcPr>
          <w:p w14:paraId="52FD348E">
            <w:pPr>
              <w:autoSpaceDE w:val="0"/>
              <w:autoSpaceDN w:val="0"/>
              <w:rPr>
                <w:rFonts w:ascii="Calibri" w:hAnsi="Calibri"/>
                <w:color w:val="auto"/>
                <w:sz w:val="22"/>
                <w:highlight w:val="none"/>
              </w:rPr>
            </w:pPr>
          </w:p>
        </w:tc>
        <w:tc>
          <w:tcPr>
            <w:tcW w:w="2550" w:type="dxa"/>
            <w:vAlign w:val="center"/>
          </w:tcPr>
          <w:p w14:paraId="33EAD9DB">
            <w:pPr>
              <w:autoSpaceDE w:val="0"/>
              <w:autoSpaceDN w:val="0"/>
              <w:rPr>
                <w:rFonts w:ascii="Calibri" w:hAnsi="Calibri"/>
                <w:color w:val="auto"/>
                <w:sz w:val="22"/>
                <w:highlight w:val="none"/>
              </w:rPr>
            </w:pPr>
          </w:p>
        </w:tc>
        <w:tc>
          <w:tcPr>
            <w:tcW w:w="1844" w:type="dxa"/>
            <w:vMerge w:val="continue"/>
            <w:tcBorders>
              <w:top w:val="nil"/>
            </w:tcBorders>
            <w:vAlign w:val="center"/>
          </w:tcPr>
          <w:p w14:paraId="6F4B33A6">
            <w:pPr>
              <w:autoSpaceDE w:val="0"/>
              <w:autoSpaceDN w:val="0"/>
              <w:rPr>
                <w:rFonts w:ascii="Calibri" w:hAnsi="Calibri"/>
                <w:color w:val="auto"/>
                <w:sz w:val="22"/>
                <w:highlight w:val="none"/>
              </w:rPr>
            </w:pPr>
          </w:p>
        </w:tc>
      </w:tr>
      <w:tr w14:paraId="6F527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43BD364C">
            <w:pPr>
              <w:autoSpaceDE w:val="0"/>
              <w:autoSpaceDN w:val="0"/>
              <w:rPr>
                <w:rFonts w:ascii="Calibri" w:hAnsi="Calibri"/>
                <w:color w:val="auto"/>
                <w:sz w:val="22"/>
                <w:highlight w:val="none"/>
              </w:rPr>
            </w:pPr>
          </w:p>
        </w:tc>
        <w:tc>
          <w:tcPr>
            <w:tcW w:w="1844" w:type="dxa"/>
            <w:vAlign w:val="center"/>
          </w:tcPr>
          <w:p w14:paraId="26B81AE8">
            <w:pPr>
              <w:autoSpaceDE w:val="0"/>
              <w:autoSpaceDN w:val="0"/>
              <w:rPr>
                <w:rFonts w:ascii="Calibri" w:hAnsi="Calibri"/>
                <w:color w:val="auto"/>
                <w:sz w:val="22"/>
                <w:highlight w:val="none"/>
              </w:rPr>
            </w:pPr>
          </w:p>
        </w:tc>
        <w:tc>
          <w:tcPr>
            <w:tcW w:w="1561" w:type="dxa"/>
            <w:vAlign w:val="center"/>
          </w:tcPr>
          <w:p w14:paraId="407E95FF">
            <w:pPr>
              <w:autoSpaceDE w:val="0"/>
              <w:autoSpaceDN w:val="0"/>
              <w:rPr>
                <w:rFonts w:ascii="Calibri" w:hAnsi="Calibri"/>
                <w:color w:val="auto"/>
                <w:sz w:val="22"/>
                <w:highlight w:val="none"/>
              </w:rPr>
            </w:pPr>
          </w:p>
        </w:tc>
        <w:tc>
          <w:tcPr>
            <w:tcW w:w="2550" w:type="dxa"/>
            <w:vAlign w:val="center"/>
          </w:tcPr>
          <w:p w14:paraId="4234C3F4">
            <w:pPr>
              <w:autoSpaceDE w:val="0"/>
              <w:autoSpaceDN w:val="0"/>
              <w:rPr>
                <w:rFonts w:ascii="Calibri" w:hAnsi="Calibri"/>
                <w:color w:val="auto"/>
                <w:sz w:val="22"/>
                <w:highlight w:val="none"/>
              </w:rPr>
            </w:pPr>
          </w:p>
        </w:tc>
        <w:tc>
          <w:tcPr>
            <w:tcW w:w="1844" w:type="dxa"/>
            <w:vMerge w:val="continue"/>
            <w:tcBorders>
              <w:top w:val="nil"/>
            </w:tcBorders>
            <w:vAlign w:val="center"/>
          </w:tcPr>
          <w:p w14:paraId="2AAFB784">
            <w:pPr>
              <w:autoSpaceDE w:val="0"/>
              <w:autoSpaceDN w:val="0"/>
              <w:rPr>
                <w:rFonts w:ascii="Calibri" w:hAnsi="Calibri"/>
                <w:color w:val="auto"/>
                <w:sz w:val="22"/>
                <w:highlight w:val="none"/>
              </w:rPr>
            </w:pPr>
          </w:p>
        </w:tc>
      </w:tr>
      <w:tr w14:paraId="6019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3C81A225">
            <w:pPr>
              <w:autoSpaceDE w:val="0"/>
              <w:autoSpaceDN w:val="0"/>
              <w:rPr>
                <w:rFonts w:ascii="Calibri" w:hAnsi="Calibri"/>
                <w:color w:val="auto"/>
                <w:sz w:val="22"/>
                <w:highlight w:val="none"/>
              </w:rPr>
            </w:pPr>
          </w:p>
        </w:tc>
        <w:tc>
          <w:tcPr>
            <w:tcW w:w="1844" w:type="dxa"/>
            <w:vAlign w:val="center"/>
          </w:tcPr>
          <w:p w14:paraId="51810ED4">
            <w:pPr>
              <w:autoSpaceDE w:val="0"/>
              <w:autoSpaceDN w:val="0"/>
              <w:rPr>
                <w:rFonts w:ascii="Calibri" w:hAnsi="Calibri"/>
                <w:color w:val="auto"/>
                <w:sz w:val="22"/>
                <w:highlight w:val="none"/>
              </w:rPr>
            </w:pPr>
          </w:p>
        </w:tc>
        <w:tc>
          <w:tcPr>
            <w:tcW w:w="1561" w:type="dxa"/>
            <w:vAlign w:val="center"/>
          </w:tcPr>
          <w:p w14:paraId="358BD3D1">
            <w:pPr>
              <w:autoSpaceDE w:val="0"/>
              <w:autoSpaceDN w:val="0"/>
              <w:rPr>
                <w:rFonts w:ascii="Calibri" w:hAnsi="Calibri"/>
                <w:color w:val="auto"/>
                <w:sz w:val="22"/>
                <w:highlight w:val="none"/>
              </w:rPr>
            </w:pPr>
          </w:p>
        </w:tc>
        <w:tc>
          <w:tcPr>
            <w:tcW w:w="2550" w:type="dxa"/>
            <w:vAlign w:val="center"/>
          </w:tcPr>
          <w:p w14:paraId="03416837">
            <w:pPr>
              <w:autoSpaceDE w:val="0"/>
              <w:autoSpaceDN w:val="0"/>
              <w:rPr>
                <w:rFonts w:ascii="Calibri" w:hAnsi="Calibri"/>
                <w:color w:val="auto"/>
                <w:sz w:val="22"/>
                <w:highlight w:val="none"/>
              </w:rPr>
            </w:pPr>
          </w:p>
        </w:tc>
        <w:tc>
          <w:tcPr>
            <w:tcW w:w="1844" w:type="dxa"/>
            <w:vMerge w:val="continue"/>
            <w:tcBorders>
              <w:top w:val="nil"/>
            </w:tcBorders>
            <w:vAlign w:val="center"/>
          </w:tcPr>
          <w:p w14:paraId="44EE6BBD">
            <w:pPr>
              <w:autoSpaceDE w:val="0"/>
              <w:autoSpaceDN w:val="0"/>
              <w:rPr>
                <w:rFonts w:ascii="Calibri" w:hAnsi="Calibri"/>
                <w:color w:val="auto"/>
                <w:sz w:val="22"/>
                <w:highlight w:val="none"/>
              </w:rPr>
            </w:pPr>
          </w:p>
        </w:tc>
      </w:tr>
      <w:tr w14:paraId="597FB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tcBorders>
              <w:bottom w:val="single" w:color="000000" w:sz="6" w:space="0"/>
            </w:tcBorders>
            <w:vAlign w:val="center"/>
          </w:tcPr>
          <w:p w14:paraId="683CB2EF">
            <w:pPr>
              <w:autoSpaceDE w:val="0"/>
              <w:autoSpaceDN w:val="0"/>
              <w:rPr>
                <w:rFonts w:ascii="Calibri" w:hAnsi="Calibri"/>
                <w:color w:val="auto"/>
                <w:sz w:val="22"/>
                <w:highlight w:val="none"/>
              </w:rPr>
            </w:pPr>
          </w:p>
        </w:tc>
        <w:tc>
          <w:tcPr>
            <w:tcW w:w="1844" w:type="dxa"/>
            <w:tcBorders>
              <w:bottom w:val="single" w:color="000000" w:sz="6" w:space="0"/>
            </w:tcBorders>
            <w:vAlign w:val="center"/>
          </w:tcPr>
          <w:p w14:paraId="7AD5D479">
            <w:pPr>
              <w:autoSpaceDE w:val="0"/>
              <w:autoSpaceDN w:val="0"/>
              <w:rPr>
                <w:rFonts w:ascii="Calibri" w:hAnsi="Calibri"/>
                <w:color w:val="auto"/>
                <w:sz w:val="22"/>
                <w:highlight w:val="none"/>
              </w:rPr>
            </w:pPr>
          </w:p>
        </w:tc>
        <w:tc>
          <w:tcPr>
            <w:tcW w:w="1561" w:type="dxa"/>
            <w:tcBorders>
              <w:bottom w:val="single" w:color="000000" w:sz="6" w:space="0"/>
            </w:tcBorders>
            <w:vAlign w:val="center"/>
          </w:tcPr>
          <w:p w14:paraId="5037EE3F">
            <w:pPr>
              <w:autoSpaceDE w:val="0"/>
              <w:autoSpaceDN w:val="0"/>
              <w:rPr>
                <w:rFonts w:ascii="Calibri" w:hAnsi="Calibri"/>
                <w:color w:val="auto"/>
                <w:sz w:val="22"/>
                <w:highlight w:val="none"/>
              </w:rPr>
            </w:pPr>
          </w:p>
        </w:tc>
        <w:tc>
          <w:tcPr>
            <w:tcW w:w="2550" w:type="dxa"/>
            <w:tcBorders>
              <w:bottom w:val="single" w:color="000000" w:sz="6" w:space="0"/>
            </w:tcBorders>
            <w:vAlign w:val="center"/>
          </w:tcPr>
          <w:p w14:paraId="48FA3AAE">
            <w:pPr>
              <w:autoSpaceDE w:val="0"/>
              <w:autoSpaceDN w:val="0"/>
              <w:rPr>
                <w:rFonts w:ascii="Calibri" w:hAnsi="Calibri"/>
                <w:color w:val="auto"/>
                <w:sz w:val="22"/>
                <w:highlight w:val="none"/>
              </w:rPr>
            </w:pPr>
          </w:p>
        </w:tc>
        <w:tc>
          <w:tcPr>
            <w:tcW w:w="1844" w:type="dxa"/>
            <w:vMerge w:val="continue"/>
            <w:tcBorders>
              <w:top w:val="nil"/>
            </w:tcBorders>
            <w:vAlign w:val="center"/>
          </w:tcPr>
          <w:p w14:paraId="798FCB0D">
            <w:pPr>
              <w:autoSpaceDE w:val="0"/>
              <w:autoSpaceDN w:val="0"/>
              <w:rPr>
                <w:rFonts w:ascii="Calibri" w:hAnsi="Calibri"/>
                <w:color w:val="auto"/>
                <w:sz w:val="22"/>
                <w:highlight w:val="none"/>
              </w:rPr>
            </w:pPr>
          </w:p>
        </w:tc>
      </w:tr>
      <w:tr w14:paraId="0937E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trPr>
        <w:tc>
          <w:tcPr>
            <w:tcW w:w="1668" w:type="dxa"/>
            <w:tcBorders>
              <w:top w:val="single" w:color="000000" w:sz="6" w:space="0"/>
            </w:tcBorders>
            <w:vAlign w:val="center"/>
          </w:tcPr>
          <w:p w14:paraId="04E4BF78">
            <w:pPr>
              <w:autoSpaceDE w:val="0"/>
              <w:autoSpaceDN w:val="0"/>
              <w:rPr>
                <w:rFonts w:ascii="Calibri" w:hAnsi="Calibri"/>
                <w:color w:val="auto"/>
                <w:sz w:val="22"/>
                <w:highlight w:val="none"/>
              </w:rPr>
            </w:pPr>
          </w:p>
        </w:tc>
        <w:tc>
          <w:tcPr>
            <w:tcW w:w="1844" w:type="dxa"/>
            <w:tcBorders>
              <w:top w:val="single" w:color="000000" w:sz="6" w:space="0"/>
            </w:tcBorders>
            <w:vAlign w:val="center"/>
          </w:tcPr>
          <w:p w14:paraId="7DB2E781">
            <w:pPr>
              <w:autoSpaceDE w:val="0"/>
              <w:autoSpaceDN w:val="0"/>
              <w:rPr>
                <w:rFonts w:ascii="Calibri" w:hAnsi="Calibri"/>
                <w:color w:val="auto"/>
                <w:sz w:val="22"/>
                <w:highlight w:val="none"/>
              </w:rPr>
            </w:pPr>
          </w:p>
        </w:tc>
        <w:tc>
          <w:tcPr>
            <w:tcW w:w="1561" w:type="dxa"/>
            <w:tcBorders>
              <w:top w:val="single" w:color="000000" w:sz="6" w:space="0"/>
            </w:tcBorders>
            <w:vAlign w:val="center"/>
          </w:tcPr>
          <w:p w14:paraId="3C943DED">
            <w:pPr>
              <w:autoSpaceDE w:val="0"/>
              <w:autoSpaceDN w:val="0"/>
              <w:rPr>
                <w:rFonts w:ascii="Calibri" w:hAnsi="Calibri"/>
                <w:color w:val="auto"/>
                <w:sz w:val="22"/>
                <w:highlight w:val="none"/>
              </w:rPr>
            </w:pPr>
          </w:p>
        </w:tc>
        <w:tc>
          <w:tcPr>
            <w:tcW w:w="2550" w:type="dxa"/>
            <w:tcBorders>
              <w:top w:val="single" w:color="000000" w:sz="6" w:space="0"/>
            </w:tcBorders>
            <w:vAlign w:val="center"/>
          </w:tcPr>
          <w:p w14:paraId="37D12073">
            <w:pPr>
              <w:autoSpaceDE w:val="0"/>
              <w:autoSpaceDN w:val="0"/>
              <w:rPr>
                <w:rFonts w:ascii="Calibri" w:hAnsi="Calibri"/>
                <w:color w:val="auto"/>
                <w:sz w:val="22"/>
                <w:highlight w:val="none"/>
              </w:rPr>
            </w:pPr>
          </w:p>
        </w:tc>
        <w:tc>
          <w:tcPr>
            <w:tcW w:w="1844" w:type="dxa"/>
            <w:vMerge w:val="continue"/>
            <w:tcBorders>
              <w:top w:val="nil"/>
            </w:tcBorders>
            <w:vAlign w:val="center"/>
          </w:tcPr>
          <w:p w14:paraId="72D47155">
            <w:pPr>
              <w:autoSpaceDE w:val="0"/>
              <w:autoSpaceDN w:val="0"/>
              <w:rPr>
                <w:rFonts w:ascii="Calibri" w:hAnsi="Calibri"/>
                <w:color w:val="auto"/>
                <w:sz w:val="22"/>
                <w:highlight w:val="none"/>
              </w:rPr>
            </w:pPr>
          </w:p>
        </w:tc>
      </w:tr>
      <w:tr w14:paraId="0C2EC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1668" w:type="dxa"/>
            <w:vAlign w:val="center"/>
          </w:tcPr>
          <w:p w14:paraId="0C109472">
            <w:pPr>
              <w:autoSpaceDE w:val="0"/>
              <w:autoSpaceDN w:val="0"/>
              <w:rPr>
                <w:rFonts w:ascii="Calibri" w:hAnsi="Calibri"/>
                <w:color w:val="auto"/>
                <w:sz w:val="22"/>
                <w:highlight w:val="none"/>
              </w:rPr>
            </w:pPr>
          </w:p>
        </w:tc>
        <w:tc>
          <w:tcPr>
            <w:tcW w:w="1844" w:type="dxa"/>
            <w:vAlign w:val="center"/>
          </w:tcPr>
          <w:p w14:paraId="44161CD3">
            <w:pPr>
              <w:autoSpaceDE w:val="0"/>
              <w:autoSpaceDN w:val="0"/>
              <w:rPr>
                <w:rFonts w:ascii="Calibri" w:hAnsi="Calibri"/>
                <w:color w:val="auto"/>
                <w:sz w:val="22"/>
                <w:highlight w:val="none"/>
              </w:rPr>
            </w:pPr>
          </w:p>
        </w:tc>
        <w:tc>
          <w:tcPr>
            <w:tcW w:w="1561" w:type="dxa"/>
            <w:vAlign w:val="center"/>
          </w:tcPr>
          <w:p w14:paraId="47FE6B74">
            <w:pPr>
              <w:autoSpaceDE w:val="0"/>
              <w:autoSpaceDN w:val="0"/>
              <w:rPr>
                <w:rFonts w:ascii="Calibri" w:hAnsi="Calibri"/>
                <w:color w:val="auto"/>
                <w:sz w:val="22"/>
                <w:highlight w:val="none"/>
              </w:rPr>
            </w:pPr>
          </w:p>
        </w:tc>
        <w:tc>
          <w:tcPr>
            <w:tcW w:w="2550" w:type="dxa"/>
            <w:vAlign w:val="center"/>
          </w:tcPr>
          <w:p w14:paraId="5F929957">
            <w:pPr>
              <w:autoSpaceDE w:val="0"/>
              <w:autoSpaceDN w:val="0"/>
              <w:rPr>
                <w:rFonts w:ascii="Calibri" w:hAnsi="Calibri"/>
                <w:color w:val="auto"/>
                <w:sz w:val="22"/>
                <w:highlight w:val="none"/>
              </w:rPr>
            </w:pPr>
          </w:p>
        </w:tc>
        <w:tc>
          <w:tcPr>
            <w:tcW w:w="1844" w:type="dxa"/>
            <w:vMerge w:val="continue"/>
            <w:tcBorders>
              <w:top w:val="nil"/>
            </w:tcBorders>
            <w:vAlign w:val="center"/>
          </w:tcPr>
          <w:p w14:paraId="202330FC">
            <w:pPr>
              <w:autoSpaceDE w:val="0"/>
              <w:autoSpaceDN w:val="0"/>
              <w:rPr>
                <w:rFonts w:ascii="Calibri" w:hAnsi="Calibri"/>
                <w:color w:val="auto"/>
                <w:sz w:val="22"/>
                <w:highlight w:val="none"/>
              </w:rPr>
            </w:pPr>
          </w:p>
        </w:tc>
      </w:tr>
      <w:tr w14:paraId="5D3A3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032BAD80">
            <w:pPr>
              <w:autoSpaceDE w:val="0"/>
              <w:autoSpaceDN w:val="0"/>
              <w:rPr>
                <w:rFonts w:ascii="Calibri" w:hAnsi="Calibri"/>
                <w:color w:val="auto"/>
                <w:sz w:val="22"/>
                <w:highlight w:val="none"/>
              </w:rPr>
            </w:pPr>
          </w:p>
        </w:tc>
        <w:tc>
          <w:tcPr>
            <w:tcW w:w="1844" w:type="dxa"/>
            <w:vAlign w:val="center"/>
          </w:tcPr>
          <w:p w14:paraId="539829C0">
            <w:pPr>
              <w:autoSpaceDE w:val="0"/>
              <w:autoSpaceDN w:val="0"/>
              <w:rPr>
                <w:rFonts w:ascii="Calibri" w:hAnsi="Calibri"/>
                <w:color w:val="auto"/>
                <w:sz w:val="22"/>
                <w:highlight w:val="none"/>
              </w:rPr>
            </w:pPr>
          </w:p>
        </w:tc>
        <w:tc>
          <w:tcPr>
            <w:tcW w:w="1561" w:type="dxa"/>
            <w:vAlign w:val="center"/>
          </w:tcPr>
          <w:p w14:paraId="2A6494FB">
            <w:pPr>
              <w:autoSpaceDE w:val="0"/>
              <w:autoSpaceDN w:val="0"/>
              <w:rPr>
                <w:rFonts w:ascii="Calibri" w:hAnsi="Calibri"/>
                <w:color w:val="auto"/>
                <w:sz w:val="22"/>
                <w:highlight w:val="none"/>
              </w:rPr>
            </w:pPr>
          </w:p>
        </w:tc>
        <w:tc>
          <w:tcPr>
            <w:tcW w:w="2550" w:type="dxa"/>
            <w:vAlign w:val="center"/>
          </w:tcPr>
          <w:p w14:paraId="450DB064">
            <w:pPr>
              <w:autoSpaceDE w:val="0"/>
              <w:autoSpaceDN w:val="0"/>
              <w:rPr>
                <w:rFonts w:ascii="Calibri" w:hAnsi="Calibri"/>
                <w:color w:val="auto"/>
                <w:sz w:val="22"/>
                <w:highlight w:val="none"/>
              </w:rPr>
            </w:pPr>
          </w:p>
        </w:tc>
        <w:tc>
          <w:tcPr>
            <w:tcW w:w="1844" w:type="dxa"/>
            <w:vMerge w:val="continue"/>
            <w:tcBorders>
              <w:top w:val="nil"/>
            </w:tcBorders>
            <w:vAlign w:val="center"/>
          </w:tcPr>
          <w:p w14:paraId="47741A97">
            <w:pPr>
              <w:autoSpaceDE w:val="0"/>
              <w:autoSpaceDN w:val="0"/>
              <w:rPr>
                <w:rFonts w:ascii="Calibri" w:hAnsi="Calibri"/>
                <w:color w:val="auto"/>
                <w:sz w:val="22"/>
                <w:highlight w:val="none"/>
              </w:rPr>
            </w:pPr>
          </w:p>
        </w:tc>
      </w:tr>
      <w:tr w14:paraId="59FB6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19424D02">
            <w:pPr>
              <w:autoSpaceDE w:val="0"/>
              <w:autoSpaceDN w:val="0"/>
              <w:rPr>
                <w:rFonts w:ascii="Calibri" w:hAnsi="Calibri"/>
                <w:color w:val="auto"/>
                <w:sz w:val="22"/>
                <w:highlight w:val="none"/>
              </w:rPr>
            </w:pPr>
          </w:p>
        </w:tc>
        <w:tc>
          <w:tcPr>
            <w:tcW w:w="1844" w:type="dxa"/>
            <w:vAlign w:val="center"/>
          </w:tcPr>
          <w:p w14:paraId="3BE4CE70">
            <w:pPr>
              <w:autoSpaceDE w:val="0"/>
              <w:autoSpaceDN w:val="0"/>
              <w:rPr>
                <w:rFonts w:ascii="Calibri" w:hAnsi="Calibri"/>
                <w:color w:val="auto"/>
                <w:sz w:val="22"/>
                <w:highlight w:val="none"/>
              </w:rPr>
            </w:pPr>
          </w:p>
        </w:tc>
        <w:tc>
          <w:tcPr>
            <w:tcW w:w="1561" w:type="dxa"/>
            <w:vAlign w:val="center"/>
          </w:tcPr>
          <w:p w14:paraId="3516ED6C">
            <w:pPr>
              <w:autoSpaceDE w:val="0"/>
              <w:autoSpaceDN w:val="0"/>
              <w:rPr>
                <w:rFonts w:ascii="Calibri" w:hAnsi="Calibri"/>
                <w:color w:val="auto"/>
                <w:sz w:val="22"/>
                <w:highlight w:val="none"/>
              </w:rPr>
            </w:pPr>
          </w:p>
        </w:tc>
        <w:tc>
          <w:tcPr>
            <w:tcW w:w="2550" w:type="dxa"/>
            <w:vAlign w:val="center"/>
          </w:tcPr>
          <w:p w14:paraId="3EE5DC9C">
            <w:pPr>
              <w:autoSpaceDE w:val="0"/>
              <w:autoSpaceDN w:val="0"/>
              <w:rPr>
                <w:rFonts w:ascii="Calibri" w:hAnsi="Calibri"/>
                <w:color w:val="auto"/>
                <w:sz w:val="22"/>
                <w:highlight w:val="none"/>
              </w:rPr>
            </w:pPr>
          </w:p>
        </w:tc>
        <w:tc>
          <w:tcPr>
            <w:tcW w:w="1844" w:type="dxa"/>
            <w:vMerge w:val="continue"/>
            <w:tcBorders>
              <w:top w:val="nil"/>
            </w:tcBorders>
            <w:vAlign w:val="center"/>
          </w:tcPr>
          <w:p w14:paraId="3FF12119">
            <w:pPr>
              <w:autoSpaceDE w:val="0"/>
              <w:autoSpaceDN w:val="0"/>
              <w:rPr>
                <w:rFonts w:ascii="Calibri" w:hAnsi="Calibri"/>
                <w:color w:val="auto"/>
                <w:sz w:val="22"/>
                <w:highlight w:val="none"/>
              </w:rPr>
            </w:pPr>
          </w:p>
        </w:tc>
      </w:tr>
      <w:tr w14:paraId="0D7159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5FDCD535">
            <w:pPr>
              <w:autoSpaceDE w:val="0"/>
              <w:autoSpaceDN w:val="0"/>
              <w:rPr>
                <w:rFonts w:ascii="Calibri" w:hAnsi="Calibri"/>
                <w:color w:val="auto"/>
                <w:sz w:val="22"/>
                <w:highlight w:val="none"/>
              </w:rPr>
            </w:pPr>
          </w:p>
        </w:tc>
        <w:tc>
          <w:tcPr>
            <w:tcW w:w="1844" w:type="dxa"/>
            <w:vAlign w:val="center"/>
          </w:tcPr>
          <w:p w14:paraId="042CEAAD">
            <w:pPr>
              <w:autoSpaceDE w:val="0"/>
              <w:autoSpaceDN w:val="0"/>
              <w:rPr>
                <w:rFonts w:ascii="Calibri" w:hAnsi="Calibri"/>
                <w:color w:val="auto"/>
                <w:sz w:val="22"/>
                <w:highlight w:val="none"/>
              </w:rPr>
            </w:pPr>
          </w:p>
        </w:tc>
        <w:tc>
          <w:tcPr>
            <w:tcW w:w="1561" w:type="dxa"/>
            <w:vAlign w:val="center"/>
          </w:tcPr>
          <w:p w14:paraId="2415AFC9">
            <w:pPr>
              <w:autoSpaceDE w:val="0"/>
              <w:autoSpaceDN w:val="0"/>
              <w:rPr>
                <w:rFonts w:ascii="Calibri" w:hAnsi="Calibri"/>
                <w:color w:val="auto"/>
                <w:sz w:val="22"/>
                <w:highlight w:val="none"/>
              </w:rPr>
            </w:pPr>
          </w:p>
        </w:tc>
        <w:tc>
          <w:tcPr>
            <w:tcW w:w="2550" w:type="dxa"/>
            <w:vAlign w:val="center"/>
          </w:tcPr>
          <w:p w14:paraId="33F91DB8">
            <w:pPr>
              <w:autoSpaceDE w:val="0"/>
              <w:autoSpaceDN w:val="0"/>
              <w:rPr>
                <w:rFonts w:ascii="Calibri" w:hAnsi="Calibri"/>
                <w:color w:val="auto"/>
                <w:sz w:val="22"/>
                <w:highlight w:val="none"/>
              </w:rPr>
            </w:pPr>
          </w:p>
        </w:tc>
        <w:tc>
          <w:tcPr>
            <w:tcW w:w="1844" w:type="dxa"/>
            <w:vMerge w:val="continue"/>
            <w:tcBorders>
              <w:top w:val="nil"/>
            </w:tcBorders>
            <w:vAlign w:val="center"/>
          </w:tcPr>
          <w:p w14:paraId="1D008C8D">
            <w:pPr>
              <w:autoSpaceDE w:val="0"/>
              <w:autoSpaceDN w:val="0"/>
              <w:rPr>
                <w:rFonts w:ascii="Calibri" w:hAnsi="Calibri"/>
                <w:color w:val="auto"/>
                <w:sz w:val="22"/>
                <w:highlight w:val="none"/>
              </w:rPr>
            </w:pPr>
          </w:p>
        </w:tc>
      </w:tr>
      <w:tr w14:paraId="19659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30E0F945">
            <w:pPr>
              <w:autoSpaceDE w:val="0"/>
              <w:autoSpaceDN w:val="0"/>
              <w:rPr>
                <w:rFonts w:ascii="Calibri" w:hAnsi="Calibri"/>
                <w:color w:val="auto"/>
                <w:sz w:val="22"/>
                <w:highlight w:val="none"/>
              </w:rPr>
            </w:pPr>
          </w:p>
        </w:tc>
        <w:tc>
          <w:tcPr>
            <w:tcW w:w="1844" w:type="dxa"/>
            <w:vAlign w:val="center"/>
          </w:tcPr>
          <w:p w14:paraId="1F509DBA">
            <w:pPr>
              <w:autoSpaceDE w:val="0"/>
              <w:autoSpaceDN w:val="0"/>
              <w:rPr>
                <w:rFonts w:ascii="Calibri" w:hAnsi="Calibri"/>
                <w:color w:val="auto"/>
                <w:sz w:val="22"/>
                <w:highlight w:val="none"/>
              </w:rPr>
            </w:pPr>
          </w:p>
        </w:tc>
        <w:tc>
          <w:tcPr>
            <w:tcW w:w="1561" w:type="dxa"/>
            <w:vAlign w:val="center"/>
          </w:tcPr>
          <w:p w14:paraId="015040E5">
            <w:pPr>
              <w:autoSpaceDE w:val="0"/>
              <w:autoSpaceDN w:val="0"/>
              <w:rPr>
                <w:rFonts w:ascii="Calibri" w:hAnsi="Calibri"/>
                <w:color w:val="auto"/>
                <w:sz w:val="22"/>
                <w:highlight w:val="none"/>
              </w:rPr>
            </w:pPr>
          </w:p>
        </w:tc>
        <w:tc>
          <w:tcPr>
            <w:tcW w:w="2550" w:type="dxa"/>
            <w:vAlign w:val="center"/>
          </w:tcPr>
          <w:p w14:paraId="6083F383">
            <w:pPr>
              <w:autoSpaceDE w:val="0"/>
              <w:autoSpaceDN w:val="0"/>
              <w:rPr>
                <w:rFonts w:ascii="Calibri" w:hAnsi="Calibri"/>
                <w:color w:val="auto"/>
                <w:sz w:val="22"/>
                <w:highlight w:val="none"/>
              </w:rPr>
            </w:pPr>
          </w:p>
        </w:tc>
        <w:tc>
          <w:tcPr>
            <w:tcW w:w="1844" w:type="dxa"/>
            <w:vMerge w:val="continue"/>
            <w:tcBorders>
              <w:top w:val="nil"/>
            </w:tcBorders>
            <w:vAlign w:val="center"/>
          </w:tcPr>
          <w:p w14:paraId="03D81488">
            <w:pPr>
              <w:autoSpaceDE w:val="0"/>
              <w:autoSpaceDN w:val="0"/>
              <w:rPr>
                <w:rFonts w:ascii="Calibri" w:hAnsi="Calibri"/>
                <w:color w:val="auto"/>
                <w:sz w:val="22"/>
                <w:highlight w:val="none"/>
              </w:rPr>
            </w:pPr>
          </w:p>
        </w:tc>
      </w:tr>
      <w:tr w14:paraId="2DB95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1668" w:type="dxa"/>
            <w:vAlign w:val="center"/>
          </w:tcPr>
          <w:p w14:paraId="290DB0C6">
            <w:pPr>
              <w:autoSpaceDE w:val="0"/>
              <w:autoSpaceDN w:val="0"/>
              <w:rPr>
                <w:rFonts w:ascii="Calibri" w:hAnsi="Calibri"/>
                <w:color w:val="auto"/>
                <w:sz w:val="22"/>
                <w:highlight w:val="none"/>
              </w:rPr>
            </w:pPr>
          </w:p>
        </w:tc>
        <w:tc>
          <w:tcPr>
            <w:tcW w:w="1844" w:type="dxa"/>
            <w:vAlign w:val="center"/>
          </w:tcPr>
          <w:p w14:paraId="3D293E0B">
            <w:pPr>
              <w:autoSpaceDE w:val="0"/>
              <w:autoSpaceDN w:val="0"/>
              <w:rPr>
                <w:rFonts w:ascii="Calibri" w:hAnsi="Calibri"/>
                <w:color w:val="auto"/>
                <w:sz w:val="22"/>
                <w:highlight w:val="none"/>
              </w:rPr>
            </w:pPr>
          </w:p>
        </w:tc>
        <w:tc>
          <w:tcPr>
            <w:tcW w:w="1561" w:type="dxa"/>
            <w:vAlign w:val="center"/>
          </w:tcPr>
          <w:p w14:paraId="64C90A2A">
            <w:pPr>
              <w:autoSpaceDE w:val="0"/>
              <w:autoSpaceDN w:val="0"/>
              <w:rPr>
                <w:rFonts w:ascii="Calibri" w:hAnsi="Calibri"/>
                <w:color w:val="auto"/>
                <w:sz w:val="22"/>
                <w:highlight w:val="none"/>
              </w:rPr>
            </w:pPr>
          </w:p>
        </w:tc>
        <w:tc>
          <w:tcPr>
            <w:tcW w:w="2550" w:type="dxa"/>
            <w:vAlign w:val="center"/>
          </w:tcPr>
          <w:p w14:paraId="1F99B178">
            <w:pPr>
              <w:autoSpaceDE w:val="0"/>
              <w:autoSpaceDN w:val="0"/>
              <w:rPr>
                <w:rFonts w:ascii="Calibri" w:hAnsi="Calibri"/>
                <w:color w:val="auto"/>
                <w:sz w:val="22"/>
                <w:highlight w:val="none"/>
              </w:rPr>
            </w:pPr>
          </w:p>
        </w:tc>
        <w:tc>
          <w:tcPr>
            <w:tcW w:w="1844" w:type="dxa"/>
            <w:vMerge w:val="continue"/>
            <w:tcBorders>
              <w:top w:val="nil"/>
            </w:tcBorders>
            <w:vAlign w:val="center"/>
          </w:tcPr>
          <w:p w14:paraId="689D9BBD">
            <w:pPr>
              <w:autoSpaceDE w:val="0"/>
              <w:autoSpaceDN w:val="0"/>
              <w:rPr>
                <w:rFonts w:ascii="Calibri" w:hAnsi="Calibri"/>
                <w:color w:val="auto"/>
                <w:sz w:val="22"/>
                <w:highlight w:val="none"/>
              </w:rPr>
            </w:pPr>
          </w:p>
        </w:tc>
      </w:tr>
      <w:tr w14:paraId="2CE85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1668" w:type="dxa"/>
            <w:vAlign w:val="center"/>
          </w:tcPr>
          <w:p w14:paraId="15271911">
            <w:pPr>
              <w:autoSpaceDE w:val="0"/>
              <w:autoSpaceDN w:val="0"/>
              <w:rPr>
                <w:rFonts w:ascii="Calibri" w:hAnsi="Calibri"/>
                <w:color w:val="auto"/>
                <w:sz w:val="22"/>
                <w:highlight w:val="none"/>
              </w:rPr>
            </w:pPr>
          </w:p>
        </w:tc>
        <w:tc>
          <w:tcPr>
            <w:tcW w:w="1844" w:type="dxa"/>
            <w:vAlign w:val="center"/>
          </w:tcPr>
          <w:p w14:paraId="07E17661">
            <w:pPr>
              <w:autoSpaceDE w:val="0"/>
              <w:autoSpaceDN w:val="0"/>
              <w:rPr>
                <w:rFonts w:ascii="Calibri" w:hAnsi="Calibri"/>
                <w:color w:val="auto"/>
                <w:sz w:val="22"/>
                <w:highlight w:val="none"/>
              </w:rPr>
            </w:pPr>
          </w:p>
        </w:tc>
        <w:tc>
          <w:tcPr>
            <w:tcW w:w="1561" w:type="dxa"/>
            <w:vAlign w:val="center"/>
          </w:tcPr>
          <w:p w14:paraId="33DC4012">
            <w:pPr>
              <w:autoSpaceDE w:val="0"/>
              <w:autoSpaceDN w:val="0"/>
              <w:rPr>
                <w:rFonts w:ascii="Calibri" w:hAnsi="Calibri"/>
                <w:color w:val="auto"/>
                <w:sz w:val="22"/>
                <w:highlight w:val="none"/>
              </w:rPr>
            </w:pPr>
          </w:p>
        </w:tc>
        <w:tc>
          <w:tcPr>
            <w:tcW w:w="2550" w:type="dxa"/>
            <w:vAlign w:val="center"/>
          </w:tcPr>
          <w:p w14:paraId="2534E11F">
            <w:pPr>
              <w:autoSpaceDE w:val="0"/>
              <w:autoSpaceDN w:val="0"/>
              <w:rPr>
                <w:rFonts w:ascii="Calibri" w:hAnsi="Calibri"/>
                <w:color w:val="auto"/>
                <w:sz w:val="22"/>
                <w:highlight w:val="none"/>
              </w:rPr>
            </w:pPr>
          </w:p>
        </w:tc>
        <w:tc>
          <w:tcPr>
            <w:tcW w:w="1844" w:type="dxa"/>
            <w:vMerge w:val="continue"/>
            <w:tcBorders>
              <w:top w:val="nil"/>
            </w:tcBorders>
            <w:vAlign w:val="center"/>
          </w:tcPr>
          <w:p w14:paraId="5A9008C2">
            <w:pPr>
              <w:autoSpaceDE w:val="0"/>
              <w:autoSpaceDN w:val="0"/>
              <w:rPr>
                <w:rFonts w:ascii="Calibri" w:hAnsi="Calibri"/>
                <w:color w:val="auto"/>
                <w:sz w:val="22"/>
                <w:highlight w:val="none"/>
              </w:rPr>
            </w:pPr>
          </w:p>
        </w:tc>
      </w:tr>
      <w:tr w14:paraId="0A7EE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1668" w:type="dxa"/>
            <w:vAlign w:val="center"/>
          </w:tcPr>
          <w:p w14:paraId="2E0D9260">
            <w:pPr>
              <w:autoSpaceDE w:val="0"/>
              <w:autoSpaceDN w:val="0"/>
              <w:rPr>
                <w:rFonts w:ascii="Calibri" w:hAnsi="Calibri"/>
                <w:color w:val="auto"/>
                <w:sz w:val="22"/>
                <w:highlight w:val="none"/>
              </w:rPr>
            </w:pPr>
          </w:p>
        </w:tc>
        <w:tc>
          <w:tcPr>
            <w:tcW w:w="1844" w:type="dxa"/>
            <w:vAlign w:val="center"/>
          </w:tcPr>
          <w:p w14:paraId="2891BF96">
            <w:pPr>
              <w:autoSpaceDE w:val="0"/>
              <w:autoSpaceDN w:val="0"/>
              <w:rPr>
                <w:rFonts w:ascii="Calibri" w:hAnsi="Calibri"/>
                <w:color w:val="auto"/>
                <w:sz w:val="22"/>
                <w:highlight w:val="none"/>
              </w:rPr>
            </w:pPr>
          </w:p>
        </w:tc>
        <w:tc>
          <w:tcPr>
            <w:tcW w:w="1561" w:type="dxa"/>
            <w:vAlign w:val="center"/>
          </w:tcPr>
          <w:p w14:paraId="05510340">
            <w:pPr>
              <w:autoSpaceDE w:val="0"/>
              <w:autoSpaceDN w:val="0"/>
              <w:rPr>
                <w:rFonts w:ascii="Calibri" w:hAnsi="Calibri"/>
                <w:color w:val="auto"/>
                <w:sz w:val="22"/>
                <w:highlight w:val="none"/>
              </w:rPr>
            </w:pPr>
          </w:p>
        </w:tc>
        <w:tc>
          <w:tcPr>
            <w:tcW w:w="2550" w:type="dxa"/>
            <w:vAlign w:val="center"/>
          </w:tcPr>
          <w:p w14:paraId="7548DD51">
            <w:pPr>
              <w:autoSpaceDE w:val="0"/>
              <w:autoSpaceDN w:val="0"/>
              <w:rPr>
                <w:rFonts w:ascii="Calibri" w:hAnsi="Calibri"/>
                <w:color w:val="auto"/>
                <w:sz w:val="22"/>
                <w:highlight w:val="none"/>
              </w:rPr>
            </w:pPr>
          </w:p>
        </w:tc>
        <w:tc>
          <w:tcPr>
            <w:tcW w:w="1844" w:type="dxa"/>
            <w:vMerge w:val="continue"/>
            <w:tcBorders>
              <w:top w:val="nil"/>
            </w:tcBorders>
            <w:vAlign w:val="center"/>
          </w:tcPr>
          <w:p w14:paraId="76A32160">
            <w:pPr>
              <w:autoSpaceDE w:val="0"/>
              <w:autoSpaceDN w:val="0"/>
              <w:rPr>
                <w:rFonts w:ascii="Calibri" w:hAnsi="Calibri"/>
                <w:color w:val="auto"/>
                <w:sz w:val="22"/>
                <w:highlight w:val="none"/>
              </w:rPr>
            </w:pPr>
          </w:p>
        </w:tc>
      </w:tr>
      <w:tr w14:paraId="02208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trPr>
        <w:tc>
          <w:tcPr>
            <w:tcW w:w="5073" w:type="dxa"/>
            <w:gridSpan w:val="3"/>
            <w:vAlign w:val="center"/>
          </w:tcPr>
          <w:p w14:paraId="2D174804">
            <w:pPr>
              <w:autoSpaceDE w:val="0"/>
              <w:autoSpaceDN w:val="0"/>
              <w:jc w:val="center"/>
              <w:rPr>
                <w:rFonts w:ascii="Calibri" w:hAnsi="Calibri"/>
                <w:color w:val="auto"/>
                <w:sz w:val="22"/>
                <w:highlight w:val="none"/>
              </w:rPr>
            </w:pPr>
            <w:r>
              <w:rPr>
                <w:rFonts w:ascii="Calibri" w:hAnsi="Calibri"/>
                <w:color w:val="auto"/>
                <w:sz w:val="22"/>
                <w:highlight w:val="none"/>
              </w:rPr>
              <w:t>拟分包工作量合计比例</w:t>
            </w:r>
            <w:r>
              <w:rPr>
                <w:rFonts w:hint="eastAsia" w:ascii="Calibri" w:hAnsi="Calibri"/>
                <w:color w:val="auto"/>
                <w:sz w:val="22"/>
                <w:highlight w:val="none"/>
              </w:rPr>
              <w:t>（%）</w:t>
            </w:r>
          </w:p>
        </w:tc>
        <w:tc>
          <w:tcPr>
            <w:tcW w:w="2550" w:type="dxa"/>
            <w:vAlign w:val="center"/>
          </w:tcPr>
          <w:p w14:paraId="12CB5F0A">
            <w:pPr>
              <w:autoSpaceDE w:val="0"/>
              <w:autoSpaceDN w:val="0"/>
              <w:rPr>
                <w:rFonts w:ascii="Calibri" w:hAnsi="Calibri"/>
                <w:color w:val="auto"/>
                <w:sz w:val="22"/>
                <w:highlight w:val="none"/>
              </w:rPr>
            </w:pPr>
          </w:p>
        </w:tc>
        <w:tc>
          <w:tcPr>
            <w:tcW w:w="1844" w:type="dxa"/>
            <w:vMerge w:val="continue"/>
            <w:tcBorders>
              <w:top w:val="nil"/>
            </w:tcBorders>
            <w:vAlign w:val="center"/>
          </w:tcPr>
          <w:p w14:paraId="33CB335B">
            <w:pPr>
              <w:autoSpaceDE w:val="0"/>
              <w:autoSpaceDN w:val="0"/>
              <w:rPr>
                <w:rFonts w:ascii="Calibri" w:hAnsi="Calibri"/>
                <w:color w:val="auto"/>
                <w:sz w:val="22"/>
                <w:highlight w:val="none"/>
              </w:rPr>
            </w:pPr>
          </w:p>
        </w:tc>
      </w:tr>
    </w:tbl>
    <w:p w14:paraId="35AC3399">
      <w:pPr>
        <w:pStyle w:val="62"/>
        <w:spacing w:before="0"/>
        <w:jc w:val="center"/>
        <w:rPr>
          <w:color w:val="auto"/>
          <w:sz w:val="30"/>
          <w:szCs w:val="30"/>
          <w:highlight w:val="none"/>
        </w:rPr>
      </w:pPr>
      <w:r>
        <w:rPr>
          <w:color w:val="auto"/>
          <w:szCs w:val="21"/>
          <w:highlight w:val="none"/>
        </w:rPr>
        <w:br w:type="page"/>
      </w:r>
      <w:bookmarkStart w:id="979" w:name="_Toc15619"/>
      <w:bookmarkStart w:id="980" w:name="_Toc5206"/>
      <w:bookmarkStart w:id="981" w:name="_Toc26436"/>
      <w:bookmarkStart w:id="982" w:name="_Toc14786"/>
      <w:bookmarkStart w:id="983" w:name="_Toc6612"/>
      <w:bookmarkStart w:id="984" w:name="_Toc6312"/>
      <w:bookmarkStart w:id="985" w:name="_Hlk42507460"/>
      <w:r>
        <w:rPr>
          <w:rFonts w:hint="eastAsia"/>
          <w:color w:val="auto"/>
          <w:sz w:val="30"/>
          <w:szCs w:val="30"/>
          <w:highlight w:val="none"/>
        </w:rPr>
        <w:t>六</w:t>
      </w:r>
      <w:r>
        <w:rPr>
          <w:color w:val="auto"/>
          <w:sz w:val="30"/>
          <w:szCs w:val="30"/>
          <w:highlight w:val="none"/>
        </w:rPr>
        <w:t>、</w:t>
      </w:r>
      <w:r>
        <w:rPr>
          <w:rFonts w:hint="eastAsia"/>
          <w:color w:val="auto"/>
          <w:sz w:val="30"/>
          <w:szCs w:val="30"/>
          <w:highlight w:val="none"/>
        </w:rPr>
        <w:t>资格审查表</w:t>
      </w:r>
      <w:bookmarkEnd w:id="979"/>
      <w:bookmarkEnd w:id="980"/>
      <w:bookmarkEnd w:id="981"/>
      <w:bookmarkEnd w:id="982"/>
      <w:bookmarkEnd w:id="983"/>
      <w:bookmarkEnd w:id="984"/>
    </w:p>
    <w:p w14:paraId="683A8B34">
      <w:pPr>
        <w:pStyle w:val="14"/>
        <w:spacing w:line="240" w:lineRule="exact"/>
        <w:rPr>
          <w:color w:val="auto"/>
          <w:highlight w:val="none"/>
        </w:rPr>
      </w:pPr>
    </w:p>
    <w:p w14:paraId="62D20D38">
      <w:pPr>
        <w:pStyle w:val="68"/>
        <w:jc w:val="center"/>
        <w:rPr>
          <w:color w:val="auto"/>
          <w:sz w:val="30"/>
          <w:szCs w:val="30"/>
          <w:highlight w:val="none"/>
        </w:rPr>
      </w:pPr>
      <w:bookmarkStart w:id="986" w:name="_Toc9203"/>
      <w:bookmarkStart w:id="987" w:name="_Toc8532"/>
      <w:bookmarkStart w:id="988" w:name="_Toc16726"/>
      <w:bookmarkStart w:id="989" w:name="_Toc12628"/>
      <w:bookmarkStart w:id="990" w:name="_Toc4974"/>
      <w:bookmarkStart w:id="991" w:name="_Toc12908"/>
      <w:r>
        <w:rPr>
          <w:rFonts w:hint="eastAsia"/>
          <w:color w:val="auto"/>
          <w:sz w:val="30"/>
          <w:szCs w:val="30"/>
          <w:highlight w:val="none"/>
        </w:rPr>
        <w:t>（一）竞包人基本情况表</w:t>
      </w:r>
      <w:bookmarkEnd w:id="986"/>
      <w:bookmarkEnd w:id="987"/>
      <w:bookmarkEnd w:id="988"/>
      <w:bookmarkEnd w:id="989"/>
      <w:bookmarkEnd w:id="990"/>
      <w:bookmarkEnd w:id="991"/>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25"/>
        <w:gridCol w:w="1080"/>
        <w:gridCol w:w="1263"/>
        <w:gridCol w:w="720"/>
        <w:gridCol w:w="540"/>
        <w:gridCol w:w="1259"/>
        <w:gridCol w:w="180"/>
        <w:gridCol w:w="720"/>
        <w:gridCol w:w="1621"/>
      </w:tblGrid>
      <w:tr w14:paraId="511B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12" w:space="0"/>
              <w:left w:val="single" w:color="auto" w:sz="12" w:space="0"/>
              <w:bottom w:val="single" w:color="auto" w:sz="6" w:space="0"/>
              <w:right w:val="single" w:color="auto" w:sz="6" w:space="0"/>
            </w:tcBorders>
            <w:vAlign w:val="center"/>
          </w:tcPr>
          <w:p w14:paraId="615919F1">
            <w:pPr>
              <w:autoSpaceDE w:val="0"/>
              <w:autoSpaceDN w:val="0"/>
              <w:jc w:val="center"/>
              <w:rPr>
                <w:color w:val="auto"/>
                <w:szCs w:val="21"/>
                <w:highlight w:val="none"/>
              </w:rPr>
            </w:pPr>
            <w:r>
              <w:rPr>
                <w:rFonts w:hint="eastAsia"/>
                <w:color w:val="auto"/>
                <w:szCs w:val="21"/>
                <w:highlight w:val="none"/>
              </w:rPr>
              <w:t>竞包人名称</w:t>
            </w:r>
          </w:p>
        </w:tc>
        <w:tc>
          <w:tcPr>
            <w:tcW w:w="7383" w:type="dxa"/>
            <w:gridSpan w:val="8"/>
            <w:tcBorders>
              <w:top w:val="single" w:color="auto" w:sz="12" w:space="0"/>
              <w:left w:val="single" w:color="auto" w:sz="6" w:space="0"/>
              <w:bottom w:val="single" w:color="auto" w:sz="6" w:space="0"/>
              <w:right w:val="single" w:color="auto" w:sz="12" w:space="0"/>
            </w:tcBorders>
            <w:vAlign w:val="center"/>
          </w:tcPr>
          <w:p w14:paraId="0095FB8B">
            <w:pPr>
              <w:autoSpaceDE w:val="0"/>
              <w:autoSpaceDN w:val="0"/>
              <w:jc w:val="center"/>
              <w:rPr>
                <w:color w:val="auto"/>
                <w:szCs w:val="21"/>
                <w:highlight w:val="none"/>
              </w:rPr>
            </w:pPr>
          </w:p>
        </w:tc>
      </w:tr>
      <w:tr w14:paraId="1B82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7F7CF761">
            <w:pPr>
              <w:autoSpaceDE w:val="0"/>
              <w:autoSpaceDN w:val="0"/>
              <w:jc w:val="center"/>
              <w:rPr>
                <w:color w:val="auto"/>
                <w:szCs w:val="21"/>
                <w:highlight w:val="none"/>
              </w:rPr>
            </w:pPr>
            <w:r>
              <w:rPr>
                <w:rFonts w:hint="eastAsia"/>
                <w:color w:val="auto"/>
                <w:szCs w:val="21"/>
                <w:highlight w:val="none"/>
              </w:rPr>
              <w:t>注册地址</w:t>
            </w:r>
          </w:p>
        </w:tc>
        <w:tc>
          <w:tcPr>
            <w:tcW w:w="3603" w:type="dxa"/>
            <w:gridSpan w:val="4"/>
            <w:tcBorders>
              <w:top w:val="single" w:color="auto" w:sz="6" w:space="0"/>
              <w:left w:val="single" w:color="auto" w:sz="6" w:space="0"/>
              <w:bottom w:val="single" w:color="auto" w:sz="6" w:space="0"/>
              <w:right w:val="single" w:color="auto" w:sz="6" w:space="0"/>
            </w:tcBorders>
            <w:vAlign w:val="center"/>
          </w:tcPr>
          <w:p w14:paraId="00B7E7DE">
            <w:pPr>
              <w:autoSpaceDE w:val="0"/>
              <w:autoSpaceDN w:val="0"/>
              <w:jc w:val="center"/>
              <w:rPr>
                <w:color w:val="auto"/>
                <w:szCs w:val="21"/>
                <w:highlight w:val="none"/>
              </w:rPr>
            </w:pPr>
          </w:p>
        </w:tc>
        <w:tc>
          <w:tcPr>
            <w:tcW w:w="1259" w:type="dxa"/>
            <w:tcBorders>
              <w:top w:val="single" w:color="auto" w:sz="6" w:space="0"/>
              <w:left w:val="single" w:color="auto" w:sz="6" w:space="0"/>
              <w:bottom w:val="single" w:color="auto" w:sz="6" w:space="0"/>
              <w:right w:val="single" w:color="auto" w:sz="6" w:space="0"/>
            </w:tcBorders>
            <w:vAlign w:val="center"/>
          </w:tcPr>
          <w:p w14:paraId="2EDF73EA">
            <w:pPr>
              <w:autoSpaceDE w:val="0"/>
              <w:autoSpaceDN w:val="0"/>
              <w:jc w:val="center"/>
              <w:rPr>
                <w:color w:val="auto"/>
                <w:szCs w:val="21"/>
                <w:highlight w:val="none"/>
              </w:rPr>
            </w:pPr>
            <w:r>
              <w:rPr>
                <w:rFonts w:hint="eastAsia"/>
                <w:color w:val="auto"/>
                <w:szCs w:val="21"/>
                <w:highlight w:val="none"/>
              </w:rPr>
              <w:t>邮政编码</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15501627">
            <w:pPr>
              <w:autoSpaceDE w:val="0"/>
              <w:autoSpaceDN w:val="0"/>
              <w:jc w:val="center"/>
              <w:rPr>
                <w:color w:val="auto"/>
                <w:szCs w:val="21"/>
                <w:highlight w:val="none"/>
              </w:rPr>
            </w:pPr>
          </w:p>
        </w:tc>
      </w:tr>
      <w:tr w14:paraId="5533B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vMerge w:val="restart"/>
            <w:tcBorders>
              <w:top w:val="single" w:color="auto" w:sz="6" w:space="0"/>
              <w:left w:val="single" w:color="auto" w:sz="12" w:space="0"/>
              <w:bottom w:val="single" w:color="auto" w:sz="6" w:space="0"/>
              <w:right w:val="single" w:color="auto" w:sz="6" w:space="0"/>
            </w:tcBorders>
            <w:vAlign w:val="center"/>
          </w:tcPr>
          <w:p w14:paraId="7264FE20">
            <w:pPr>
              <w:autoSpaceDE w:val="0"/>
              <w:autoSpaceDN w:val="0"/>
              <w:jc w:val="center"/>
              <w:rPr>
                <w:color w:val="auto"/>
                <w:szCs w:val="21"/>
                <w:highlight w:val="none"/>
              </w:rPr>
            </w:pPr>
            <w:r>
              <w:rPr>
                <w:rFonts w:hint="eastAsia"/>
                <w:color w:val="auto"/>
                <w:szCs w:val="21"/>
                <w:highlight w:val="none"/>
              </w:rPr>
              <w:t>联系方式</w:t>
            </w:r>
          </w:p>
        </w:tc>
        <w:tc>
          <w:tcPr>
            <w:tcW w:w="1080" w:type="dxa"/>
            <w:tcBorders>
              <w:top w:val="single" w:color="auto" w:sz="6" w:space="0"/>
              <w:left w:val="single" w:color="auto" w:sz="6" w:space="0"/>
              <w:bottom w:val="single" w:color="auto" w:sz="6" w:space="0"/>
              <w:right w:val="single" w:color="auto" w:sz="6" w:space="0"/>
            </w:tcBorders>
            <w:vAlign w:val="center"/>
          </w:tcPr>
          <w:p w14:paraId="50971CD2">
            <w:pPr>
              <w:autoSpaceDE w:val="0"/>
              <w:autoSpaceDN w:val="0"/>
              <w:jc w:val="center"/>
              <w:rPr>
                <w:color w:val="auto"/>
                <w:szCs w:val="21"/>
                <w:highlight w:val="none"/>
              </w:rPr>
            </w:pPr>
            <w:r>
              <w:rPr>
                <w:rFonts w:hint="eastAsia"/>
                <w:color w:val="auto"/>
                <w:szCs w:val="21"/>
                <w:highlight w:val="none"/>
              </w:rPr>
              <w:t>联系人</w:t>
            </w:r>
          </w:p>
        </w:tc>
        <w:tc>
          <w:tcPr>
            <w:tcW w:w="2523" w:type="dxa"/>
            <w:gridSpan w:val="3"/>
            <w:tcBorders>
              <w:top w:val="single" w:color="auto" w:sz="6" w:space="0"/>
              <w:left w:val="single" w:color="auto" w:sz="6" w:space="0"/>
              <w:bottom w:val="single" w:color="auto" w:sz="6" w:space="0"/>
              <w:right w:val="single" w:color="auto" w:sz="6" w:space="0"/>
            </w:tcBorders>
            <w:vAlign w:val="center"/>
          </w:tcPr>
          <w:p w14:paraId="7D3FDB7C">
            <w:pPr>
              <w:autoSpaceDE w:val="0"/>
              <w:autoSpaceDN w:val="0"/>
              <w:jc w:val="center"/>
              <w:rPr>
                <w:color w:val="auto"/>
                <w:szCs w:val="21"/>
                <w:highlight w:val="none"/>
              </w:rPr>
            </w:pPr>
          </w:p>
        </w:tc>
        <w:tc>
          <w:tcPr>
            <w:tcW w:w="1259" w:type="dxa"/>
            <w:tcBorders>
              <w:top w:val="single" w:color="auto" w:sz="6" w:space="0"/>
              <w:left w:val="single" w:color="auto" w:sz="6" w:space="0"/>
              <w:bottom w:val="single" w:color="auto" w:sz="6" w:space="0"/>
              <w:right w:val="single" w:color="auto" w:sz="6" w:space="0"/>
            </w:tcBorders>
            <w:vAlign w:val="center"/>
          </w:tcPr>
          <w:p w14:paraId="6F0D2F11">
            <w:pPr>
              <w:autoSpaceDE w:val="0"/>
              <w:autoSpaceDN w:val="0"/>
              <w:jc w:val="center"/>
              <w:rPr>
                <w:color w:val="auto"/>
                <w:szCs w:val="21"/>
                <w:highlight w:val="none"/>
              </w:rPr>
            </w:pPr>
            <w:r>
              <w:rPr>
                <w:rFonts w:hint="eastAsia"/>
                <w:color w:val="auto"/>
                <w:szCs w:val="21"/>
                <w:highlight w:val="none"/>
              </w:rPr>
              <w:t>电  话</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0C1702BE">
            <w:pPr>
              <w:autoSpaceDE w:val="0"/>
              <w:autoSpaceDN w:val="0"/>
              <w:jc w:val="center"/>
              <w:rPr>
                <w:color w:val="auto"/>
                <w:szCs w:val="21"/>
                <w:highlight w:val="none"/>
              </w:rPr>
            </w:pPr>
          </w:p>
        </w:tc>
      </w:tr>
      <w:tr w14:paraId="21A7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vMerge w:val="continue"/>
            <w:tcBorders>
              <w:top w:val="single" w:color="auto" w:sz="6" w:space="0"/>
              <w:left w:val="single" w:color="auto" w:sz="12" w:space="0"/>
              <w:bottom w:val="single" w:color="auto" w:sz="6" w:space="0"/>
              <w:right w:val="single" w:color="auto" w:sz="6" w:space="0"/>
            </w:tcBorders>
            <w:vAlign w:val="center"/>
          </w:tcPr>
          <w:p w14:paraId="0C206F38">
            <w:pPr>
              <w:autoSpaceDE w:val="0"/>
              <w:autoSpaceDN w:val="0"/>
              <w:jc w:val="center"/>
              <w:rPr>
                <w:color w:val="auto"/>
                <w:szCs w:val="21"/>
                <w:highlight w:val="none"/>
              </w:rPr>
            </w:pPr>
          </w:p>
        </w:tc>
        <w:tc>
          <w:tcPr>
            <w:tcW w:w="1080" w:type="dxa"/>
            <w:tcBorders>
              <w:top w:val="single" w:color="auto" w:sz="6" w:space="0"/>
              <w:left w:val="single" w:color="auto" w:sz="6" w:space="0"/>
              <w:bottom w:val="single" w:color="auto" w:sz="6" w:space="0"/>
              <w:right w:val="single" w:color="auto" w:sz="6" w:space="0"/>
            </w:tcBorders>
            <w:vAlign w:val="center"/>
          </w:tcPr>
          <w:p w14:paraId="50D6F93B">
            <w:pPr>
              <w:autoSpaceDE w:val="0"/>
              <w:autoSpaceDN w:val="0"/>
              <w:jc w:val="center"/>
              <w:rPr>
                <w:color w:val="auto"/>
                <w:szCs w:val="21"/>
                <w:highlight w:val="none"/>
              </w:rPr>
            </w:pPr>
            <w:r>
              <w:rPr>
                <w:rFonts w:hint="eastAsia"/>
                <w:color w:val="auto"/>
                <w:szCs w:val="21"/>
                <w:highlight w:val="none"/>
              </w:rPr>
              <w:t>传真</w:t>
            </w:r>
          </w:p>
        </w:tc>
        <w:tc>
          <w:tcPr>
            <w:tcW w:w="2523" w:type="dxa"/>
            <w:gridSpan w:val="3"/>
            <w:tcBorders>
              <w:top w:val="single" w:color="auto" w:sz="6" w:space="0"/>
              <w:left w:val="single" w:color="auto" w:sz="6" w:space="0"/>
              <w:bottom w:val="single" w:color="auto" w:sz="6" w:space="0"/>
              <w:right w:val="single" w:color="auto" w:sz="6" w:space="0"/>
            </w:tcBorders>
            <w:vAlign w:val="center"/>
          </w:tcPr>
          <w:p w14:paraId="305CF5AC">
            <w:pPr>
              <w:autoSpaceDE w:val="0"/>
              <w:autoSpaceDN w:val="0"/>
              <w:jc w:val="center"/>
              <w:rPr>
                <w:color w:val="auto"/>
                <w:szCs w:val="21"/>
                <w:highlight w:val="none"/>
              </w:rPr>
            </w:pPr>
          </w:p>
        </w:tc>
        <w:tc>
          <w:tcPr>
            <w:tcW w:w="1259" w:type="dxa"/>
            <w:tcBorders>
              <w:top w:val="single" w:color="auto" w:sz="6" w:space="0"/>
              <w:left w:val="single" w:color="auto" w:sz="6" w:space="0"/>
              <w:bottom w:val="single" w:color="auto" w:sz="6" w:space="0"/>
              <w:right w:val="single" w:color="auto" w:sz="6" w:space="0"/>
            </w:tcBorders>
            <w:vAlign w:val="center"/>
          </w:tcPr>
          <w:p w14:paraId="5BB209DC">
            <w:pPr>
              <w:autoSpaceDE w:val="0"/>
              <w:autoSpaceDN w:val="0"/>
              <w:jc w:val="center"/>
              <w:rPr>
                <w:color w:val="auto"/>
                <w:szCs w:val="21"/>
                <w:highlight w:val="none"/>
              </w:rPr>
            </w:pPr>
            <w:r>
              <w:rPr>
                <w:rFonts w:hint="eastAsia"/>
                <w:color w:val="auto"/>
                <w:szCs w:val="21"/>
                <w:highlight w:val="none"/>
              </w:rPr>
              <w:t>电子邮件</w:t>
            </w:r>
          </w:p>
        </w:tc>
        <w:tc>
          <w:tcPr>
            <w:tcW w:w="2521" w:type="dxa"/>
            <w:gridSpan w:val="3"/>
            <w:tcBorders>
              <w:top w:val="single" w:color="auto" w:sz="6" w:space="0"/>
              <w:left w:val="single" w:color="auto" w:sz="6" w:space="0"/>
              <w:bottom w:val="single" w:color="auto" w:sz="6" w:space="0"/>
              <w:right w:val="single" w:color="auto" w:sz="12" w:space="0"/>
            </w:tcBorders>
            <w:vAlign w:val="center"/>
          </w:tcPr>
          <w:p w14:paraId="70DD4706">
            <w:pPr>
              <w:autoSpaceDE w:val="0"/>
              <w:autoSpaceDN w:val="0"/>
              <w:jc w:val="center"/>
              <w:rPr>
                <w:color w:val="auto"/>
                <w:szCs w:val="21"/>
                <w:highlight w:val="none"/>
              </w:rPr>
            </w:pPr>
          </w:p>
        </w:tc>
      </w:tr>
      <w:tr w14:paraId="2FC88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02133D13">
            <w:pPr>
              <w:autoSpaceDE w:val="0"/>
              <w:autoSpaceDN w:val="0"/>
              <w:jc w:val="center"/>
              <w:rPr>
                <w:color w:val="auto"/>
                <w:szCs w:val="21"/>
                <w:highlight w:val="none"/>
              </w:rPr>
            </w:pPr>
            <w:r>
              <w:rPr>
                <w:rFonts w:hint="eastAsia"/>
                <w:color w:val="auto"/>
                <w:szCs w:val="21"/>
                <w:highlight w:val="none"/>
              </w:rPr>
              <w:t>法定代表人</w:t>
            </w:r>
          </w:p>
        </w:tc>
        <w:tc>
          <w:tcPr>
            <w:tcW w:w="1080" w:type="dxa"/>
            <w:tcBorders>
              <w:top w:val="single" w:color="auto" w:sz="6" w:space="0"/>
              <w:left w:val="single" w:color="auto" w:sz="6" w:space="0"/>
              <w:bottom w:val="single" w:color="auto" w:sz="6" w:space="0"/>
              <w:right w:val="single" w:color="auto" w:sz="6" w:space="0"/>
            </w:tcBorders>
            <w:vAlign w:val="center"/>
          </w:tcPr>
          <w:p w14:paraId="51DE67F1">
            <w:pPr>
              <w:autoSpaceDE w:val="0"/>
              <w:autoSpaceDN w:val="0"/>
              <w:jc w:val="center"/>
              <w:rPr>
                <w:color w:val="auto"/>
                <w:szCs w:val="21"/>
                <w:highlight w:val="none"/>
              </w:rPr>
            </w:pPr>
            <w:r>
              <w:rPr>
                <w:rFonts w:hint="eastAsia"/>
                <w:color w:val="auto"/>
                <w:szCs w:val="21"/>
                <w:highlight w:val="none"/>
              </w:rPr>
              <w:t>姓名</w:t>
            </w:r>
          </w:p>
        </w:tc>
        <w:tc>
          <w:tcPr>
            <w:tcW w:w="1263" w:type="dxa"/>
            <w:tcBorders>
              <w:top w:val="single" w:color="auto" w:sz="6" w:space="0"/>
              <w:left w:val="single" w:color="auto" w:sz="6" w:space="0"/>
              <w:bottom w:val="single" w:color="auto" w:sz="6" w:space="0"/>
              <w:right w:val="single" w:color="auto" w:sz="6" w:space="0"/>
            </w:tcBorders>
            <w:vAlign w:val="center"/>
          </w:tcPr>
          <w:p w14:paraId="0CFF9EC4">
            <w:pPr>
              <w:autoSpaceDE w:val="0"/>
              <w:autoSpaceDN w:val="0"/>
              <w:jc w:val="center"/>
              <w:rPr>
                <w:color w:val="auto"/>
                <w:szCs w:val="21"/>
                <w:highlight w:val="none"/>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7B230BC1">
            <w:pPr>
              <w:autoSpaceDE w:val="0"/>
              <w:autoSpaceDN w:val="0"/>
              <w:jc w:val="center"/>
              <w:rPr>
                <w:color w:val="auto"/>
                <w:szCs w:val="21"/>
                <w:highlight w:val="none"/>
              </w:rPr>
            </w:pPr>
            <w:r>
              <w:rPr>
                <w:rFonts w:hint="eastAsia"/>
                <w:color w:val="auto"/>
                <w:szCs w:val="21"/>
                <w:highlight w:val="none"/>
              </w:rPr>
              <w:t>技术职称</w:t>
            </w:r>
          </w:p>
        </w:tc>
        <w:tc>
          <w:tcPr>
            <w:tcW w:w="1439" w:type="dxa"/>
            <w:gridSpan w:val="2"/>
            <w:tcBorders>
              <w:top w:val="single" w:color="auto" w:sz="6" w:space="0"/>
              <w:left w:val="single" w:color="auto" w:sz="6" w:space="0"/>
              <w:bottom w:val="single" w:color="auto" w:sz="6" w:space="0"/>
              <w:right w:val="single" w:color="auto" w:sz="6" w:space="0"/>
            </w:tcBorders>
            <w:vAlign w:val="center"/>
          </w:tcPr>
          <w:p w14:paraId="0A7F3030">
            <w:pPr>
              <w:autoSpaceDE w:val="0"/>
              <w:autoSpaceDN w:val="0"/>
              <w:jc w:val="center"/>
              <w:rPr>
                <w:color w:val="auto"/>
                <w:szCs w:val="21"/>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2C8C642">
            <w:pPr>
              <w:autoSpaceDE w:val="0"/>
              <w:autoSpaceDN w:val="0"/>
              <w:jc w:val="center"/>
              <w:rPr>
                <w:color w:val="auto"/>
                <w:szCs w:val="21"/>
                <w:highlight w:val="none"/>
              </w:rPr>
            </w:pPr>
            <w:r>
              <w:rPr>
                <w:rFonts w:hint="eastAsia"/>
                <w:color w:val="auto"/>
                <w:szCs w:val="21"/>
                <w:highlight w:val="none"/>
              </w:rPr>
              <w:t>电话</w:t>
            </w:r>
          </w:p>
        </w:tc>
        <w:tc>
          <w:tcPr>
            <w:tcW w:w="1621" w:type="dxa"/>
            <w:tcBorders>
              <w:top w:val="single" w:color="auto" w:sz="6" w:space="0"/>
              <w:left w:val="single" w:color="auto" w:sz="6" w:space="0"/>
              <w:bottom w:val="single" w:color="auto" w:sz="6" w:space="0"/>
              <w:right w:val="single" w:color="auto" w:sz="12" w:space="0"/>
            </w:tcBorders>
            <w:vAlign w:val="center"/>
          </w:tcPr>
          <w:p w14:paraId="7928DD74">
            <w:pPr>
              <w:autoSpaceDE w:val="0"/>
              <w:autoSpaceDN w:val="0"/>
              <w:jc w:val="center"/>
              <w:rPr>
                <w:color w:val="auto"/>
                <w:szCs w:val="21"/>
                <w:highlight w:val="none"/>
              </w:rPr>
            </w:pPr>
          </w:p>
        </w:tc>
      </w:tr>
      <w:tr w14:paraId="5D3D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69BEDA78">
            <w:pPr>
              <w:autoSpaceDE w:val="0"/>
              <w:autoSpaceDN w:val="0"/>
              <w:jc w:val="center"/>
              <w:rPr>
                <w:color w:val="auto"/>
                <w:szCs w:val="21"/>
                <w:highlight w:val="none"/>
              </w:rPr>
            </w:pPr>
            <w:r>
              <w:rPr>
                <w:rFonts w:hint="eastAsia"/>
                <w:color w:val="auto"/>
                <w:szCs w:val="21"/>
                <w:highlight w:val="none"/>
              </w:rPr>
              <w:t>技术负责人</w:t>
            </w:r>
          </w:p>
        </w:tc>
        <w:tc>
          <w:tcPr>
            <w:tcW w:w="1080" w:type="dxa"/>
            <w:tcBorders>
              <w:top w:val="single" w:color="auto" w:sz="6" w:space="0"/>
              <w:left w:val="single" w:color="auto" w:sz="6" w:space="0"/>
              <w:bottom w:val="single" w:color="auto" w:sz="6" w:space="0"/>
              <w:right w:val="single" w:color="auto" w:sz="6" w:space="0"/>
            </w:tcBorders>
            <w:vAlign w:val="center"/>
          </w:tcPr>
          <w:p w14:paraId="717F54AD">
            <w:pPr>
              <w:autoSpaceDE w:val="0"/>
              <w:autoSpaceDN w:val="0"/>
              <w:jc w:val="center"/>
              <w:rPr>
                <w:color w:val="auto"/>
                <w:szCs w:val="21"/>
                <w:highlight w:val="none"/>
              </w:rPr>
            </w:pPr>
            <w:r>
              <w:rPr>
                <w:rFonts w:hint="eastAsia"/>
                <w:color w:val="auto"/>
                <w:szCs w:val="21"/>
                <w:highlight w:val="none"/>
              </w:rPr>
              <w:t>姓名</w:t>
            </w:r>
          </w:p>
        </w:tc>
        <w:tc>
          <w:tcPr>
            <w:tcW w:w="1263" w:type="dxa"/>
            <w:tcBorders>
              <w:top w:val="single" w:color="auto" w:sz="6" w:space="0"/>
              <w:left w:val="single" w:color="auto" w:sz="6" w:space="0"/>
              <w:bottom w:val="single" w:color="auto" w:sz="6" w:space="0"/>
              <w:right w:val="single" w:color="auto" w:sz="6" w:space="0"/>
            </w:tcBorders>
            <w:vAlign w:val="center"/>
          </w:tcPr>
          <w:p w14:paraId="596EEA91">
            <w:pPr>
              <w:autoSpaceDE w:val="0"/>
              <w:autoSpaceDN w:val="0"/>
              <w:jc w:val="center"/>
              <w:rPr>
                <w:color w:val="auto"/>
                <w:szCs w:val="21"/>
                <w:highlight w:val="none"/>
              </w:rPr>
            </w:pPr>
          </w:p>
        </w:tc>
        <w:tc>
          <w:tcPr>
            <w:tcW w:w="1260" w:type="dxa"/>
            <w:gridSpan w:val="2"/>
            <w:tcBorders>
              <w:top w:val="single" w:color="auto" w:sz="6" w:space="0"/>
              <w:left w:val="single" w:color="auto" w:sz="6" w:space="0"/>
              <w:bottom w:val="single" w:color="auto" w:sz="6" w:space="0"/>
              <w:right w:val="single" w:color="auto" w:sz="6" w:space="0"/>
            </w:tcBorders>
            <w:vAlign w:val="center"/>
          </w:tcPr>
          <w:p w14:paraId="2BC3AF91">
            <w:pPr>
              <w:autoSpaceDE w:val="0"/>
              <w:autoSpaceDN w:val="0"/>
              <w:jc w:val="center"/>
              <w:rPr>
                <w:color w:val="auto"/>
                <w:szCs w:val="21"/>
                <w:highlight w:val="none"/>
              </w:rPr>
            </w:pPr>
            <w:r>
              <w:rPr>
                <w:rFonts w:hint="eastAsia"/>
                <w:color w:val="auto"/>
                <w:szCs w:val="21"/>
                <w:highlight w:val="none"/>
              </w:rPr>
              <w:t>技术职称</w:t>
            </w:r>
          </w:p>
        </w:tc>
        <w:tc>
          <w:tcPr>
            <w:tcW w:w="1439" w:type="dxa"/>
            <w:gridSpan w:val="2"/>
            <w:tcBorders>
              <w:top w:val="single" w:color="auto" w:sz="6" w:space="0"/>
              <w:left w:val="single" w:color="auto" w:sz="6" w:space="0"/>
              <w:bottom w:val="single" w:color="auto" w:sz="6" w:space="0"/>
              <w:right w:val="single" w:color="auto" w:sz="6" w:space="0"/>
            </w:tcBorders>
            <w:vAlign w:val="center"/>
          </w:tcPr>
          <w:p w14:paraId="69AB3764">
            <w:pPr>
              <w:autoSpaceDE w:val="0"/>
              <w:autoSpaceDN w:val="0"/>
              <w:jc w:val="center"/>
              <w:rPr>
                <w:color w:val="auto"/>
                <w:szCs w:val="21"/>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4B3BB5AB">
            <w:pPr>
              <w:autoSpaceDE w:val="0"/>
              <w:autoSpaceDN w:val="0"/>
              <w:jc w:val="center"/>
              <w:rPr>
                <w:color w:val="auto"/>
                <w:szCs w:val="21"/>
                <w:highlight w:val="none"/>
              </w:rPr>
            </w:pPr>
            <w:r>
              <w:rPr>
                <w:rFonts w:hint="eastAsia"/>
                <w:color w:val="auto"/>
                <w:szCs w:val="21"/>
                <w:highlight w:val="none"/>
              </w:rPr>
              <w:t>电话</w:t>
            </w:r>
          </w:p>
        </w:tc>
        <w:tc>
          <w:tcPr>
            <w:tcW w:w="1621" w:type="dxa"/>
            <w:tcBorders>
              <w:top w:val="single" w:color="auto" w:sz="6" w:space="0"/>
              <w:left w:val="single" w:color="auto" w:sz="6" w:space="0"/>
              <w:bottom w:val="single" w:color="auto" w:sz="6" w:space="0"/>
              <w:right w:val="single" w:color="auto" w:sz="12" w:space="0"/>
            </w:tcBorders>
            <w:vAlign w:val="center"/>
          </w:tcPr>
          <w:p w14:paraId="2D0EEA8D">
            <w:pPr>
              <w:autoSpaceDE w:val="0"/>
              <w:autoSpaceDN w:val="0"/>
              <w:jc w:val="center"/>
              <w:rPr>
                <w:color w:val="auto"/>
                <w:szCs w:val="21"/>
                <w:highlight w:val="none"/>
              </w:rPr>
            </w:pPr>
          </w:p>
        </w:tc>
      </w:tr>
      <w:tr w14:paraId="5F94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631583BA">
            <w:pPr>
              <w:autoSpaceDE w:val="0"/>
              <w:autoSpaceDN w:val="0"/>
              <w:jc w:val="center"/>
              <w:rPr>
                <w:color w:val="auto"/>
                <w:szCs w:val="21"/>
                <w:highlight w:val="none"/>
              </w:rPr>
            </w:pPr>
            <w:r>
              <w:rPr>
                <w:rFonts w:hint="eastAsia"/>
                <w:color w:val="auto"/>
                <w:szCs w:val="21"/>
                <w:highlight w:val="none"/>
              </w:rPr>
              <w:t>企业设计资质证书</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44F24995">
            <w:pPr>
              <w:autoSpaceDE w:val="0"/>
              <w:autoSpaceDN w:val="0"/>
              <w:jc w:val="center"/>
              <w:rPr>
                <w:color w:val="auto"/>
                <w:szCs w:val="21"/>
                <w:highlight w:val="none"/>
              </w:rPr>
            </w:pPr>
            <w:r>
              <w:rPr>
                <w:rFonts w:hint="eastAsia"/>
                <w:color w:val="auto"/>
                <w:szCs w:val="21"/>
                <w:highlight w:val="none"/>
              </w:rPr>
              <w:t>类型：</w:t>
            </w:r>
            <w:r>
              <w:rPr>
                <w:rFonts w:hint="eastAsia"/>
                <w:color w:val="auto"/>
                <w:szCs w:val="21"/>
                <w:highlight w:val="none"/>
              </w:rPr>
              <w:tab/>
            </w:r>
            <w:r>
              <w:rPr>
                <w:rFonts w:hint="eastAsia"/>
                <w:color w:val="auto"/>
                <w:szCs w:val="21"/>
                <w:highlight w:val="none"/>
              </w:rPr>
              <w:t xml:space="preserve">             等级：</w:t>
            </w:r>
            <w:r>
              <w:rPr>
                <w:rFonts w:hint="eastAsia"/>
                <w:color w:val="auto"/>
                <w:szCs w:val="21"/>
                <w:highlight w:val="none"/>
              </w:rPr>
              <w:tab/>
            </w:r>
            <w:r>
              <w:rPr>
                <w:rFonts w:hint="eastAsia"/>
                <w:color w:val="auto"/>
                <w:szCs w:val="21"/>
                <w:highlight w:val="none"/>
              </w:rPr>
              <w:t xml:space="preserve">        证书号：</w:t>
            </w:r>
          </w:p>
        </w:tc>
      </w:tr>
      <w:tr w14:paraId="09285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72785A65">
            <w:pPr>
              <w:autoSpaceDE w:val="0"/>
              <w:autoSpaceDN w:val="0"/>
              <w:jc w:val="center"/>
              <w:rPr>
                <w:color w:val="auto"/>
                <w:szCs w:val="21"/>
                <w:highlight w:val="none"/>
              </w:rPr>
            </w:pPr>
            <w:r>
              <w:rPr>
                <w:rFonts w:hint="eastAsia"/>
                <w:color w:val="auto"/>
                <w:szCs w:val="21"/>
                <w:highlight w:val="none"/>
              </w:rPr>
              <w:t>营业执照号</w:t>
            </w:r>
          </w:p>
        </w:tc>
        <w:tc>
          <w:tcPr>
            <w:tcW w:w="2343" w:type="dxa"/>
            <w:gridSpan w:val="2"/>
            <w:tcBorders>
              <w:top w:val="single" w:color="auto" w:sz="6" w:space="0"/>
              <w:left w:val="single" w:color="auto" w:sz="6" w:space="0"/>
              <w:bottom w:val="single" w:color="auto" w:sz="6" w:space="0"/>
              <w:right w:val="single" w:color="auto" w:sz="6" w:space="0"/>
            </w:tcBorders>
            <w:vAlign w:val="center"/>
          </w:tcPr>
          <w:p w14:paraId="2F12456D">
            <w:pPr>
              <w:autoSpaceDE w:val="0"/>
              <w:autoSpaceDN w:val="0"/>
              <w:jc w:val="center"/>
              <w:rPr>
                <w:color w:val="auto"/>
                <w:szCs w:val="21"/>
                <w:highlight w:val="none"/>
              </w:rPr>
            </w:pPr>
          </w:p>
        </w:tc>
        <w:tc>
          <w:tcPr>
            <w:tcW w:w="5040" w:type="dxa"/>
            <w:gridSpan w:val="6"/>
            <w:tcBorders>
              <w:top w:val="single" w:color="auto" w:sz="6" w:space="0"/>
              <w:left w:val="single" w:color="auto" w:sz="6" w:space="0"/>
              <w:bottom w:val="single" w:color="auto" w:sz="6" w:space="0"/>
              <w:right w:val="single" w:color="auto" w:sz="12" w:space="0"/>
            </w:tcBorders>
            <w:vAlign w:val="center"/>
          </w:tcPr>
          <w:p w14:paraId="5FB7B9F1">
            <w:pPr>
              <w:autoSpaceDE w:val="0"/>
              <w:autoSpaceDN w:val="0"/>
              <w:jc w:val="center"/>
              <w:rPr>
                <w:color w:val="auto"/>
                <w:szCs w:val="21"/>
                <w:highlight w:val="none"/>
              </w:rPr>
            </w:pPr>
            <w:r>
              <w:rPr>
                <w:rFonts w:hint="eastAsia"/>
                <w:color w:val="auto"/>
                <w:szCs w:val="21"/>
                <w:highlight w:val="none"/>
              </w:rPr>
              <w:t>员工总人数：</w:t>
            </w:r>
          </w:p>
        </w:tc>
      </w:tr>
      <w:tr w14:paraId="6D8B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5D4F3FB3">
            <w:pPr>
              <w:autoSpaceDE w:val="0"/>
              <w:autoSpaceDN w:val="0"/>
              <w:jc w:val="center"/>
              <w:rPr>
                <w:color w:val="auto"/>
                <w:szCs w:val="21"/>
                <w:highlight w:val="none"/>
              </w:rPr>
            </w:pPr>
            <w:r>
              <w:rPr>
                <w:rFonts w:hint="eastAsia"/>
                <w:color w:val="auto"/>
                <w:szCs w:val="21"/>
                <w:highlight w:val="none"/>
              </w:rPr>
              <w:t>注册资本</w:t>
            </w:r>
          </w:p>
        </w:tc>
        <w:tc>
          <w:tcPr>
            <w:tcW w:w="2343" w:type="dxa"/>
            <w:gridSpan w:val="2"/>
            <w:tcBorders>
              <w:top w:val="single" w:color="auto" w:sz="6" w:space="0"/>
              <w:left w:val="single" w:color="auto" w:sz="6" w:space="0"/>
              <w:bottom w:val="single" w:color="auto" w:sz="6" w:space="0"/>
              <w:right w:val="single" w:color="auto" w:sz="6" w:space="0"/>
            </w:tcBorders>
            <w:vAlign w:val="center"/>
          </w:tcPr>
          <w:p w14:paraId="390FF29A">
            <w:pPr>
              <w:autoSpaceDE w:val="0"/>
              <w:autoSpaceDN w:val="0"/>
              <w:jc w:val="center"/>
              <w:rPr>
                <w:color w:val="auto"/>
                <w:szCs w:val="21"/>
                <w:highlight w:val="none"/>
              </w:rPr>
            </w:pPr>
          </w:p>
        </w:tc>
        <w:tc>
          <w:tcPr>
            <w:tcW w:w="720" w:type="dxa"/>
            <w:vMerge w:val="restart"/>
            <w:tcBorders>
              <w:top w:val="single" w:color="auto" w:sz="6" w:space="0"/>
              <w:left w:val="single" w:color="auto" w:sz="6" w:space="0"/>
              <w:right w:val="single" w:color="auto" w:sz="6" w:space="0"/>
            </w:tcBorders>
            <w:vAlign w:val="center"/>
          </w:tcPr>
          <w:p w14:paraId="64B9DD21">
            <w:pPr>
              <w:autoSpaceDE w:val="0"/>
              <w:autoSpaceDN w:val="0"/>
              <w:jc w:val="center"/>
              <w:rPr>
                <w:color w:val="auto"/>
                <w:szCs w:val="21"/>
                <w:highlight w:val="none"/>
              </w:rPr>
            </w:pPr>
            <w:r>
              <w:rPr>
                <w:rFonts w:hint="eastAsia"/>
                <w:color w:val="auto"/>
                <w:szCs w:val="21"/>
                <w:highlight w:val="none"/>
              </w:rPr>
              <w:t>其中</w:t>
            </w:r>
          </w:p>
        </w:tc>
        <w:tc>
          <w:tcPr>
            <w:tcW w:w="1979" w:type="dxa"/>
            <w:gridSpan w:val="3"/>
            <w:tcBorders>
              <w:top w:val="single" w:color="auto" w:sz="6" w:space="0"/>
              <w:left w:val="single" w:color="auto" w:sz="6" w:space="0"/>
              <w:bottom w:val="single" w:color="auto" w:sz="6" w:space="0"/>
              <w:right w:val="single" w:color="auto" w:sz="6" w:space="0"/>
            </w:tcBorders>
            <w:vAlign w:val="center"/>
          </w:tcPr>
          <w:p w14:paraId="349738E8">
            <w:pPr>
              <w:autoSpaceDE w:val="0"/>
              <w:autoSpaceDN w:val="0"/>
              <w:jc w:val="center"/>
              <w:rPr>
                <w:color w:val="auto"/>
                <w:szCs w:val="21"/>
                <w:highlight w:val="none"/>
              </w:rPr>
            </w:pPr>
            <w:r>
              <w:rPr>
                <w:rFonts w:hint="eastAsia"/>
                <w:color w:val="auto"/>
                <w:szCs w:val="21"/>
                <w:highlight w:val="none"/>
              </w:rPr>
              <w:t>高级职称人员</w:t>
            </w:r>
          </w:p>
        </w:tc>
        <w:tc>
          <w:tcPr>
            <w:tcW w:w="2341" w:type="dxa"/>
            <w:gridSpan w:val="2"/>
            <w:tcBorders>
              <w:top w:val="single" w:color="auto" w:sz="6" w:space="0"/>
              <w:left w:val="single" w:color="auto" w:sz="6" w:space="0"/>
              <w:bottom w:val="single" w:color="auto" w:sz="6" w:space="0"/>
              <w:right w:val="single" w:color="auto" w:sz="12" w:space="0"/>
            </w:tcBorders>
            <w:vAlign w:val="center"/>
          </w:tcPr>
          <w:p w14:paraId="580726F9">
            <w:pPr>
              <w:autoSpaceDE w:val="0"/>
              <w:autoSpaceDN w:val="0"/>
              <w:jc w:val="center"/>
              <w:rPr>
                <w:color w:val="auto"/>
                <w:szCs w:val="21"/>
                <w:highlight w:val="none"/>
              </w:rPr>
            </w:pPr>
          </w:p>
        </w:tc>
      </w:tr>
      <w:tr w14:paraId="3CDF4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6" w:space="0"/>
            </w:tcBorders>
            <w:vAlign w:val="center"/>
          </w:tcPr>
          <w:p w14:paraId="55F6801A">
            <w:pPr>
              <w:autoSpaceDE w:val="0"/>
              <w:autoSpaceDN w:val="0"/>
              <w:jc w:val="center"/>
              <w:rPr>
                <w:color w:val="auto"/>
                <w:szCs w:val="21"/>
                <w:highlight w:val="none"/>
              </w:rPr>
            </w:pPr>
            <w:r>
              <w:rPr>
                <w:rFonts w:hint="eastAsia"/>
                <w:color w:val="auto"/>
                <w:szCs w:val="21"/>
                <w:highlight w:val="none"/>
              </w:rPr>
              <w:t>成立日期</w:t>
            </w:r>
          </w:p>
        </w:tc>
        <w:tc>
          <w:tcPr>
            <w:tcW w:w="2343" w:type="dxa"/>
            <w:gridSpan w:val="2"/>
            <w:tcBorders>
              <w:top w:val="single" w:color="auto" w:sz="6" w:space="0"/>
              <w:left w:val="single" w:color="auto" w:sz="6" w:space="0"/>
              <w:bottom w:val="single" w:color="auto" w:sz="4" w:space="0"/>
              <w:right w:val="single" w:color="auto" w:sz="6" w:space="0"/>
            </w:tcBorders>
            <w:vAlign w:val="center"/>
          </w:tcPr>
          <w:p w14:paraId="3106B70F">
            <w:pPr>
              <w:autoSpaceDE w:val="0"/>
              <w:autoSpaceDN w:val="0"/>
              <w:jc w:val="center"/>
              <w:rPr>
                <w:color w:val="auto"/>
                <w:szCs w:val="21"/>
                <w:highlight w:val="none"/>
              </w:rPr>
            </w:pPr>
          </w:p>
        </w:tc>
        <w:tc>
          <w:tcPr>
            <w:tcW w:w="720" w:type="dxa"/>
            <w:vMerge w:val="continue"/>
            <w:tcBorders>
              <w:left w:val="single" w:color="auto" w:sz="6" w:space="0"/>
              <w:bottom w:val="single" w:color="auto" w:sz="4" w:space="0"/>
              <w:right w:val="single" w:color="auto" w:sz="6" w:space="0"/>
            </w:tcBorders>
            <w:vAlign w:val="center"/>
          </w:tcPr>
          <w:p w14:paraId="77D22061">
            <w:pPr>
              <w:autoSpaceDE w:val="0"/>
              <w:autoSpaceDN w:val="0"/>
              <w:jc w:val="center"/>
              <w:rPr>
                <w:color w:val="auto"/>
                <w:szCs w:val="21"/>
                <w:highlight w:val="none"/>
              </w:rPr>
            </w:pPr>
          </w:p>
        </w:tc>
        <w:tc>
          <w:tcPr>
            <w:tcW w:w="1979" w:type="dxa"/>
            <w:gridSpan w:val="3"/>
            <w:tcBorders>
              <w:top w:val="single" w:color="auto" w:sz="6" w:space="0"/>
              <w:left w:val="single" w:color="auto" w:sz="6" w:space="0"/>
              <w:bottom w:val="single" w:color="auto" w:sz="4" w:space="0"/>
              <w:right w:val="single" w:color="auto" w:sz="6" w:space="0"/>
            </w:tcBorders>
            <w:vAlign w:val="center"/>
          </w:tcPr>
          <w:p w14:paraId="29A13F1D">
            <w:pPr>
              <w:autoSpaceDE w:val="0"/>
              <w:autoSpaceDN w:val="0"/>
              <w:jc w:val="center"/>
              <w:rPr>
                <w:color w:val="auto"/>
                <w:szCs w:val="21"/>
                <w:highlight w:val="none"/>
              </w:rPr>
            </w:pPr>
            <w:r>
              <w:rPr>
                <w:rFonts w:hint="eastAsia"/>
                <w:color w:val="auto"/>
                <w:szCs w:val="21"/>
                <w:highlight w:val="none"/>
              </w:rPr>
              <w:t>中级职称人员</w:t>
            </w:r>
          </w:p>
        </w:tc>
        <w:tc>
          <w:tcPr>
            <w:tcW w:w="2341" w:type="dxa"/>
            <w:gridSpan w:val="2"/>
            <w:tcBorders>
              <w:top w:val="single" w:color="auto" w:sz="6" w:space="0"/>
              <w:left w:val="single" w:color="auto" w:sz="6" w:space="0"/>
              <w:bottom w:val="single" w:color="auto" w:sz="6" w:space="0"/>
              <w:right w:val="single" w:color="auto" w:sz="12" w:space="0"/>
            </w:tcBorders>
            <w:vAlign w:val="center"/>
          </w:tcPr>
          <w:p w14:paraId="4BC5362E">
            <w:pPr>
              <w:autoSpaceDE w:val="0"/>
              <w:autoSpaceDN w:val="0"/>
              <w:jc w:val="center"/>
              <w:rPr>
                <w:color w:val="auto"/>
                <w:szCs w:val="21"/>
                <w:highlight w:val="none"/>
              </w:rPr>
            </w:pPr>
          </w:p>
        </w:tc>
      </w:tr>
      <w:tr w14:paraId="5E18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4" w:space="0"/>
              <w:right w:val="single" w:color="auto" w:sz="4" w:space="0"/>
            </w:tcBorders>
            <w:vAlign w:val="center"/>
          </w:tcPr>
          <w:p w14:paraId="76F3FBF9">
            <w:pPr>
              <w:autoSpaceDE w:val="0"/>
              <w:autoSpaceDN w:val="0"/>
              <w:jc w:val="center"/>
              <w:rPr>
                <w:color w:val="auto"/>
                <w:szCs w:val="21"/>
                <w:highlight w:val="none"/>
              </w:rPr>
            </w:pPr>
            <w:r>
              <w:rPr>
                <w:rFonts w:hint="eastAsia"/>
                <w:color w:val="auto"/>
                <w:szCs w:val="21"/>
                <w:highlight w:val="none"/>
              </w:rPr>
              <w:t>基本帐户开户银行</w:t>
            </w:r>
          </w:p>
        </w:tc>
        <w:tc>
          <w:tcPr>
            <w:tcW w:w="2343" w:type="dxa"/>
            <w:gridSpan w:val="2"/>
            <w:tcBorders>
              <w:top w:val="single" w:color="auto" w:sz="4" w:space="0"/>
              <w:left w:val="single" w:color="auto" w:sz="4" w:space="0"/>
              <w:bottom w:val="single" w:color="auto" w:sz="4" w:space="0"/>
              <w:right w:val="single" w:color="auto" w:sz="4" w:space="0"/>
            </w:tcBorders>
            <w:vAlign w:val="center"/>
          </w:tcPr>
          <w:p w14:paraId="0D419573">
            <w:pPr>
              <w:autoSpaceDE w:val="0"/>
              <w:autoSpaceDN w:val="0"/>
              <w:jc w:val="center"/>
              <w:rPr>
                <w:color w:val="auto"/>
                <w:szCs w:val="21"/>
                <w:highlight w:val="none"/>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11808163">
            <w:pPr>
              <w:autoSpaceDE w:val="0"/>
              <w:autoSpaceDN w:val="0"/>
              <w:jc w:val="center"/>
              <w:rPr>
                <w:color w:val="auto"/>
                <w:szCs w:val="21"/>
                <w:highlight w:val="none"/>
              </w:rPr>
            </w:pPr>
          </w:p>
        </w:tc>
        <w:tc>
          <w:tcPr>
            <w:tcW w:w="1979" w:type="dxa"/>
            <w:gridSpan w:val="3"/>
            <w:tcBorders>
              <w:top w:val="single" w:color="auto" w:sz="4" w:space="0"/>
              <w:left w:val="single" w:color="auto" w:sz="4" w:space="0"/>
              <w:bottom w:val="single" w:color="auto" w:sz="4" w:space="0"/>
              <w:right w:val="single" w:color="auto" w:sz="4" w:space="0"/>
            </w:tcBorders>
            <w:vAlign w:val="center"/>
          </w:tcPr>
          <w:p w14:paraId="56417E1C">
            <w:pPr>
              <w:autoSpaceDE w:val="0"/>
              <w:autoSpaceDN w:val="0"/>
              <w:jc w:val="center"/>
              <w:rPr>
                <w:color w:val="auto"/>
                <w:szCs w:val="21"/>
                <w:highlight w:val="none"/>
              </w:rPr>
            </w:pPr>
            <w:r>
              <w:rPr>
                <w:rFonts w:hint="eastAsia"/>
                <w:color w:val="auto"/>
                <w:szCs w:val="21"/>
                <w:highlight w:val="none"/>
              </w:rPr>
              <w:t>技术人员数量</w:t>
            </w:r>
          </w:p>
        </w:tc>
        <w:tc>
          <w:tcPr>
            <w:tcW w:w="2341" w:type="dxa"/>
            <w:gridSpan w:val="2"/>
            <w:tcBorders>
              <w:top w:val="single" w:color="auto" w:sz="6" w:space="0"/>
              <w:left w:val="single" w:color="auto" w:sz="4" w:space="0"/>
              <w:bottom w:val="single" w:color="auto" w:sz="6" w:space="0"/>
              <w:right w:val="single" w:color="auto" w:sz="12" w:space="0"/>
            </w:tcBorders>
            <w:vAlign w:val="center"/>
          </w:tcPr>
          <w:p w14:paraId="09041B63">
            <w:pPr>
              <w:autoSpaceDE w:val="0"/>
              <w:autoSpaceDN w:val="0"/>
              <w:jc w:val="center"/>
              <w:rPr>
                <w:color w:val="auto"/>
                <w:szCs w:val="21"/>
                <w:highlight w:val="none"/>
              </w:rPr>
            </w:pPr>
          </w:p>
        </w:tc>
      </w:tr>
      <w:tr w14:paraId="6DF60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540" w:hRule="atLeast"/>
        </w:trPr>
        <w:tc>
          <w:tcPr>
            <w:tcW w:w="1825" w:type="dxa"/>
            <w:tcBorders>
              <w:top w:val="single" w:color="auto" w:sz="6" w:space="0"/>
              <w:left w:val="single" w:color="auto" w:sz="12" w:space="0"/>
              <w:bottom w:val="single" w:color="auto" w:sz="6" w:space="0"/>
              <w:right w:val="single" w:color="auto" w:sz="4" w:space="0"/>
            </w:tcBorders>
            <w:vAlign w:val="center"/>
          </w:tcPr>
          <w:p w14:paraId="3B9C9417">
            <w:pPr>
              <w:autoSpaceDE w:val="0"/>
              <w:autoSpaceDN w:val="0"/>
              <w:jc w:val="center"/>
              <w:rPr>
                <w:color w:val="auto"/>
                <w:szCs w:val="21"/>
                <w:highlight w:val="none"/>
              </w:rPr>
            </w:pPr>
            <w:r>
              <w:rPr>
                <w:rFonts w:hint="eastAsia"/>
                <w:color w:val="auto"/>
                <w:szCs w:val="21"/>
                <w:highlight w:val="none"/>
              </w:rPr>
              <w:t>基本帐户帐号</w:t>
            </w:r>
          </w:p>
        </w:tc>
        <w:tc>
          <w:tcPr>
            <w:tcW w:w="2343" w:type="dxa"/>
            <w:gridSpan w:val="2"/>
            <w:tcBorders>
              <w:top w:val="single" w:color="auto" w:sz="4" w:space="0"/>
              <w:left w:val="single" w:color="auto" w:sz="4" w:space="0"/>
              <w:bottom w:val="single" w:color="auto" w:sz="4" w:space="0"/>
              <w:right w:val="single" w:color="auto" w:sz="4" w:space="0"/>
            </w:tcBorders>
            <w:vAlign w:val="center"/>
          </w:tcPr>
          <w:p w14:paraId="3A68D666">
            <w:pPr>
              <w:autoSpaceDE w:val="0"/>
              <w:autoSpaceDN w:val="0"/>
              <w:jc w:val="center"/>
              <w:rPr>
                <w:color w:val="auto"/>
                <w:szCs w:val="21"/>
                <w:highlight w:val="none"/>
              </w:rPr>
            </w:pPr>
          </w:p>
        </w:tc>
        <w:tc>
          <w:tcPr>
            <w:tcW w:w="720" w:type="dxa"/>
            <w:vMerge w:val="continue"/>
            <w:tcBorders>
              <w:top w:val="single" w:color="auto" w:sz="4" w:space="0"/>
              <w:left w:val="single" w:color="auto" w:sz="4" w:space="0"/>
              <w:bottom w:val="single" w:color="auto" w:sz="4" w:space="0"/>
              <w:right w:val="single" w:color="auto" w:sz="4" w:space="0"/>
            </w:tcBorders>
            <w:vAlign w:val="center"/>
          </w:tcPr>
          <w:p w14:paraId="502C5535">
            <w:pPr>
              <w:autoSpaceDE w:val="0"/>
              <w:autoSpaceDN w:val="0"/>
              <w:jc w:val="center"/>
              <w:rPr>
                <w:color w:val="auto"/>
                <w:szCs w:val="21"/>
                <w:highlight w:val="none"/>
              </w:rPr>
            </w:pPr>
          </w:p>
        </w:tc>
        <w:tc>
          <w:tcPr>
            <w:tcW w:w="1979" w:type="dxa"/>
            <w:gridSpan w:val="3"/>
            <w:tcBorders>
              <w:top w:val="single" w:color="auto" w:sz="4" w:space="0"/>
              <w:left w:val="single" w:color="auto" w:sz="4" w:space="0"/>
              <w:bottom w:val="single" w:color="auto" w:sz="4" w:space="0"/>
              <w:right w:val="single" w:color="auto" w:sz="4" w:space="0"/>
            </w:tcBorders>
            <w:vAlign w:val="center"/>
          </w:tcPr>
          <w:p w14:paraId="3F10FC37">
            <w:pPr>
              <w:autoSpaceDE w:val="0"/>
              <w:autoSpaceDN w:val="0"/>
              <w:jc w:val="center"/>
              <w:rPr>
                <w:color w:val="auto"/>
                <w:szCs w:val="21"/>
                <w:highlight w:val="none"/>
              </w:rPr>
            </w:pPr>
            <w:r>
              <w:rPr>
                <w:rFonts w:hint="eastAsia"/>
                <w:color w:val="auto"/>
                <w:szCs w:val="21"/>
                <w:highlight w:val="none"/>
              </w:rPr>
              <w:t>各类注册人员</w:t>
            </w:r>
          </w:p>
        </w:tc>
        <w:tc>
          <w:tcPr>
            <w:tcW w:w="2341" w:type="dxa"/>
            <w:gridSpan w:val="2"/>
            <w:tcBorders>
              <w:top w:val="single" w:color="auto" w:sz="6" w:space="0"/>
              <w:left w:val="single" w:color="auto" w:sz="4" w:space="0"/>
              <w:bottom w:val="single" w:color="auto" w:sz="6" w:space="0"/>
              <w:right w:val="single" w:color="auto" w:sz="12" w:space="0"/>
            </w:tcBorders>
            <w:vAlign w:val="center"/>
          </w:tcPr>
          <w:p w14:paraId="14AF7C65">
            <w:pPr>
              <w:autoSpaceDE w:val="0"/>
              <w:autoSpaceDN w:val="0"/>
              <w:jc w:val="center"/>
              <w:rPr>
                <w:color w:val="auto"/>
                <w:szCs w:val="21"/>
                <w:highlight w:val="none"/>
              </w:rPr>
            </w:pPr>
          </w:p>
        </w:tc>
      </w:tr>
      <w:tr w14:paraId="5D24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825" w:type="dxa"/>
            <w:tcBorders>
              <w:top w:val="single" w:color="auto" w:sz="6" w:space="0"/>
              <w:left w:val="single" w:color="auto" w:sz="12" w:space="0"/>
              <w:bottom w:val="single" w:color="auto" w:sz="6" w:space="0"/>
              <w:right w:val="single" w:color="auto" w:sz="6" w:space="0"/>
            </w:tcBorders>
            <w:vAlign w:val="center"/>
          </w:tcPr>
          <w:p w14:paraId="795FE96C">
            <w:pPr>
              <w:autoSpaceDE w:val="0"/>
              <w:autoSpaceDN w:val="0"/>
              <w:jc w:val="center"/>
              <w:rPr>
                <w:color w:val="auto"/>
                <w:szCs w:val="21"/>
                <w:highlight w:val="none"/>
              </w:rPr>
            </w:pPr>
            <w:r>
              <w:rPr>
                <w:rFonts w:hint="eastAsia"/>
                <w:color w:val="auto"/>
                <w:szCs w:val="21"/>
                <w:highlight w:val="none"/>
              </w:rPr>
              <w:t>经营范围</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7D353E8F">
            <w:pPr>
              <w:autoSpaceDE w:val="0"/>
              <w:autoSpaceDN w:val="0"/>
              <w:jc w:val="center"/>
              <w:rPr>
                <w:color w:val="auto"/>
                <w:szCs w:val="21"/>
                <w:highlight w:val="none"/>
              </w:rPr>
            </w:pPr>
          </w:p>
        </w:tc>
      </w:tr>
      <w:tr w14:paraId="16BE9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600" w:hRule="atLeast"/>
        </w:trPr>
        <w:tc>
          <w:tcPr>
            <w:tcW w:w="1825" w:type="dxa"/>
            <w:tcBorders>
              <w:top w:val="single" w:color="auto" w:sz="6" w:space="0"/>
              <w:left w:val="single" w:color="auto" w:sz="12" w:space="0"/>
              <w:bottom w:val="single" w:color="auto" w:sz="6" w:space="0"/>
              <w:right w:val="single" w:color="auto" w:sz="6" w:space="0"/>
            </w:tcBorders>
            <w:vAlign w:val="center"/>
          </w:tcPr>
          <w:p w14:paraId="7A834BC2">
            <w:pPr>
              <w:autoSpaceDE w:val="0"/>
              <w:autoSpaceDN w:val="0"/>
              <w:jc w:val="center"/>
              <w:rPr>
                <w:color w:val="auto"/>
                <w:szCs w:val="21"/>
                <w:highlight w:val="none"/>
              </w:rPr>
            </w:pPr>
            <w:r>
              <w:rPr>
                <w:rFonts w:hint="eastAsia"/>
                <w:color w:val="auto"/>
                <w:szCs w:val="21"/>
                <w:highlight w:val="none"/>
              </w:rPr>
              <w:t>竞包人关联企业情况</w:t>
            </w:r>
          </w:p>
        </w:tc>
        <w:tc>
          <w:tcPr>
            <w:tcW w:w="7383" w:type="dxa"/>
            <w:gridSpan w:val="8"/>
            <w:tcBorders>
              <w:top w:val="single" w:color="auto" w:sz="6" w:space="0"/>
              <w:left w:val="single" w:color="auto" w:sz="6" w:space="0"/>
              <w:bottom w:val="single" w:color="auto" w:sz="6" w:space="0"/>
              <w:right w:val="single" w:color="auto" w:sz="12" w:space="0"/>
            </w:tcBorders>
            <w:vAlign w:val="center"/>
          </w:tcPr>
          <w:p w14:paraId="7B5FC3C8">
            <w:pPr>
              <w:autoSpaceDE w:val="0"/>
              <w:autoSpaceDN w:val="0"/>
              <w:jc w:val="left"/>
              <w:rPr>
                <w:color w:val="auto"/>
                <w:szCs w:val="21"/>
                <w:highlight w:val="none"/>
              </w:rPr>
            </w:pPr>
            <w:r>
              <w:rPr>
                <w:rFonts w:hint="eastAsia"/>
                <w:color w:val="auto"/>
                <w:szCs w:val="21"/>
                <w:highlight w:val="none"/>
              </w:rPr>
              <w:t>竞包人应提供关联企业情况，包括：</w:t>
            </w:r>
          </w:p>
          <w:p w14:paraId="78EFC533">
            <w:pPr>
              <w:autoSpaceDE w:val="0"/>
              <w:autoSpaceDN w:val="0"/>
              <w:jc w:val="center"/>
              <w:rPr>
                <w:color w:val="auto"/>
                <w:szCs w:val="21"/>
                <w:highlight w:val="none"/>
              </w:rPr>
            </w:pPr>
            <w:r>
              <w:rPr>
                <w:rFonts w:hint="eastAsia"/>
                <w:color w:val="auto"/>
                <w:szCs w:val="21"/>
                <w:highlight w:val="none"/>
              </w:rPr>
              <w:t>（1）竞包人的所有股东名称及相应股权（出资额）比例；如竞包人为上市公司，竞包人应提供股权占公司股份总数  %以上的所有股东名称及相应股权比例；</w:t>
            </w:r>
          </w:p>
          <w:p w14:paraId="51E46416">
            <w:pPr>
              <w:autoSpaceDE w:val="0"/>
              <w:autoSpaceDN w:val="0"/>
              <w:jc w:val="center"/>
              <w:rPr>
                <w:color w:val="auto"/>
                <w:szCs w:val="21"/>
                <w:highlight w:val="none"/>
              </w:rPr>
            </w:pPr>
            <w:r>
              <w:rPr>
                <w:rFonts w:hint="eastAsia"/>
                <w:color w:val="auto"/>
                <w:szCs w:val="21"/>
                <w:highlight w:val="none"/>
              </w:rPr>
              <w:t>（2）竞包人投资（控股）或管理的下属企业名称、持有股权（出资额） 比例；</w:t>
            </w:r>
          </w:p>
          <w:p w14:paraId="3A1276F1">
            <w:pPr>
              <w:autoSpaceDE w:val="0"/>
              <w:autoSpaceDN w:val="0"/>
              <w:rPr>
                <w:color w:val="auto"/>
                <w:szCs w:val="21"/>
                <w:highlight w:val="none"/>
              </w:rPr>
            </w:pPr>
            <w:r>
              <w:rPr>
                <w:rFonts w:hint="eastAsia"/>
                <w:color w:val="auto"/>
                <w:szCs w:val="21"/>
                <w:highlight w:val="none"/>
              </w:rPr>
              <w:t>（3）与竞包人单位负责人（即法定代表人）为同一人的其他单位名称。</w:t>
            </w:r>
          </w:p>
        </w:tc>
      </w:tr>
      <w:tr w14:paraId="6F616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814" w:hRule="atLeast"/>
        </w:trPr>
        <w:tc>
          <w:tcPr>
            <w:tcW w:w="1825" w:type="dxa"/>
            <w:tcBorders>
              <w:top w:val="single" w:color="auto" w:sz="6" w:space="0"/>
              <w:left w:val="single" w:color="auto" w:sz="12" w:space="0"/>
              <w:bottom w:val="single" w:color="auto" w:sz="12" w:space="0"/>
              <w:right w:val="single" w:color="auto" w:sz="6" w:space="0"/>
            </w:tcBorders>
            <w:vAlign w:val="center"/>
          </w:tcPr>
          <w:p w14:paraId="736261CC">
            <w:pPr>
              <w:autoSpaceDE w:val="0"/>
              <w:autoSpaceDN w:val="0"/>
              <w:jc w:val="center"/>
              <w:rPr>
                <w:color w:val="auto"/>
                <w:szCs w:val="21"/>
                <w:highlight w:val="none"/>
              </w:rPr>
            </w:pPr>
            <w:r>
              <w:rPr>
                <w:rFonts w:hint="eastAsia"/>
                <w:color w:val="auto"/>
                <w:szCs w:val="21"/>
                <w:highlight w:val="none"/>
              </w:rPr>
              <w:t>备注</w:t>
            </w:r>
          </w:p>
        </w:tc>
        <w:tc>
          <w:tcPr>
            <w:tcW w:w="7383" w:type="dxa"/>
            <w:gridSpan w:val="8"/>
            <w:tcBorders>
              <w:top w:val="single" w:color="auto" w:sz="6" w:space="0"/>
              <w:left w:val="single" w:color="auto" w:sz="6" w:space="0"/>
              <w:bottom w:val="single" w:color="auto" w:sz="12" w:space="0"/>
              <w:right w:val="single" w:color="auto" w:sz="12" w:space="0"/>
            </w:tcBorders>
            <w:vAlign w:val="center"/>
          </w:tcPr>
          <w:p w14:paraId="00392E69">
            <w:pPr>
              <w:autoSpaceDE w:val="0"/>
              <w:autoSpaceDN w:val="0"/>
              <w:jc w:val="center"/>
              <w:rPr>
                <w:color w:val="auto"/>
                <w:szCs w:val="21"/>
                <w:highlight w:val="none"/>
              </w:rPr>
            </w:pPr>
          </w:p>
        </w:tc>
      </w:tr>
    </w:tbl>
    <w:p w14:paraId="17F74A63">
      <w:pPr>
        <w:spacing w:before="126"/>
        <w:ind w:right="-764" w:rightChars="-364"/>
        <w:rPr>
          <w:color w:val="auto"/>
          <w:highlight w:val="none"/>
        </w:rPr>
      </w:pPr>
      <w:r>
        <w:rPr>
          <w:rFonts w:hint="eastAsia" w:ascii="宋体" w:hAnsi="宋体"/>
          <w:color w:val="auto"/>
          <w:highlight w:val="none"/>
        </w:rPr>
        <w:t>注：</w:t>
      </w:r>
      <w:r>
        <w:rPr>
          <w:rFonts w:eastAsia="Times New Roman"/>
          <w:color w:val="auto"/>
          <w:highlight w:val="none"/>
        </w:rPr>
        <w:t>1</w:t>
      </w:r>
      <w:r>
        <w:rPr>
          <w:rFonts w:hint="eastAsia" w:ascii="宋体" w:hAnsi="宋体"/>
          <w:color w:val="auto"/>
          <w:szCs w:val="20"/>
          <w:highlight w:val="none"/>
        </w:rPr>
        <w:t>.</w:t>
      </w:r>
      <w:r>
        <w:rPr>
          <w:rFonts w:hint="eastAsia"/>
          <w:color w:val="auto"/>
          <w:highlight w:val="none"/>
        </w:rPr>
        <w:t>竞包</w:t>
      </w:r>
      <w:r>
        <w:rPr>
          <w:color w:val="auto"/>
          <w:highlight w:val="none"/>
        </w:rPr>
        <w:t>人应根据</w:t>
      </w:r>
      <w:r>
        <w:rPr>
          <w:rFonts w:hint="eastAsia"/>
          <w:color w:val="auto"/>
          <w:highlight w:val="none"/>
        </w:rPr>
        <w:t>发包</w:t>
      </w:r>
      <w:r>
        <w:rPr>
          <w:color w:val="auto"/>
          <w:highlight w:val="none"/>
        </w:rPr>
        <w:t>文件第二章</w:t>
      </w:r>
      <w:r>
        <w:rPr>
          <w:rFonts w:hint="eastAsia"/>
          <w:color w:val="auto"/>
          <w:highlight w:val="none"/>
        </w:rPr>
        <w:t>“竞包</w:t>
      </w:r>
      <w:r>
        <w:rPr>
          <w:color w:val="auto"/>
          <w:highlight w:val="none"/>
        </w:rPr>
        <w:t>人须知</w:t>
      </w:r>
      <w:r>
        <w:rPr>
          <w:rFonts w:hint="eastAsia"/>
          <w:color w:val="auto"/>
          <w:highlight w:val="none"/>
        </w:rPr>
        <w:t>”</w:t>
      </w:r>
      <w:r>
        <w:rPr>
          <w:color w:val="auto"/>
          <w:highlight w:val="none"/>
        </w:rPr>
        <w:t>第</w:t>
      </w:r>
      <w:r>
        <w:rPr>
          <w:rFonts w:eastAsia="Times New Roman"/>
          <w:color w:val="auto"/>
          <w:highlight w:val="none"/>
        </w:rPr>
        <w:t>3.5.1</w:t>
      </w:r>
      <w:r>
        <w:rPr>
          <w:color w:val="auto"/>
          <w:highlight w:val="none"/>
        </w:rPr>
        <w:t>项的要求在本表后附相关证明材料。</w:t>
      </w:r>
    </w:p>
    <w:p w14:paraId="76C224D6">
      <w:pPr>
        <w:pStyle w:val="14"/>
        <w:spacing w:line="300" w:lineRule="exact"/>
        <w:ind w:right="111" w:rightChars="53" w:firstLine="420" w:firstLineChars="200"/>
        <w:rPr>
          <w:rFonts w:ascii="宋体" w:hAnsi="宋体"/>
          <w:color w:val="auto"/>
          <w:highlight w:val="none"/>
        </w:rPr>
      </w:pPr>
      <w:r>
        <w:rPr>
          <w:rFonts w:eastAsia="Times New Roman"/>
          <w:color w:val="auto"/>
          <w:highlight w:val="none"/>
        </w:rPr>
        <w:t>2</w:t>
      </w:r>
      <w:r>
        <w:rPr>
          <w:rFonts w:hint="eastAsia" w:ascii="宋体" w:hAnsi="宋体"/>
          <w:color w:val="auto"/>
          <w:szCs w:val="20"/>
          <w:highlight w:val="none"/>
        </w:rPr>
        <w:t>.</w:t>
      </w:r>
      <w:r>
        <w:rPr>
          <w:color w:val="auto"/>
          <w:highlight w:val="none"/>
        </w:rPr>
        <w:t>以联合体形式参与</w:t>
      </w:r>
      <w:r>
        <w:rPr>
          <w:rFonts w:hint="eastAsia"/>
          <w:color w:val="auto"/>
          <w:highlight w:val="none"/>
        </w:rPr>
        <w:t>竞包</w:t>
      </w:r>
      <w:r>
        <w:rPr>
          <w:color w:val="auto"/>
          <w:highlight w:val="none"/>
        </w:rPr>
        <w:t>的，联合体各成员应分别填写</w:t>
      </w:r>
      <w:r>
        <w:rPr>
          <w:rFonts w:hint="eastAsia" w:ascii="宋体" w:hAnsi="宋体"/>
          <w:color w:val="auto"/>
          <w:highlight w:val="none"/>
        </w:rPr>
        <w:t>。</w:t>
      </w:r>
    </w:p>
    <w:p w14:paraId="2C0D787A">
      <w:pPr>
        <w:pStyle w:val="68"/>
        <w:jc w:val="center"/>
        <w:rPr>
          <w:color w:val="auto"/>
          <w:sz w:val="30"/>
          <w:szCs w:val="30"/>
          <w:highlight w:val="none"/>
        </w:rPr>
      </w:pPr>
      <w:r>
        <w:rPr>
          <w:color w:val="auto"/>
          <w:highlight w:val="none"/>
        </w:rPr>
        <w:br w:type="page"/>
      </w:r>
      <w:bookmarkStart w:id="992" w:name="_Toc20574"/>
      <w:bookmarkStart w:id="993" w:name="_Toc16350"/>
      <w:bookmarkStart w:id="994" w:name="_Toc11024"/>
      <w:bookmarkStart w:id="995" w:name="_Toc31818"/>
      <w:bookmarkStart w:id="996" w:name="_Toc25506"/>
      <w:bookmarkStart w:id="997" w:name="_Toc24172"/>
      <w:r>
        <w:rPr>
          <w:rFonts w:hint="eastAsia"/>
          <w:color w:val="auto"/>
          <w:sz w:val="30"/>
          <w:szCs w:val="30"/>
          <w:highlight w:val="none"/>
        </w:rPr>
        <w:t>（二）竞包人企业组织机构框图</w:t>
      </w:r>
      <w:bookmarkEnd w:id="992"/>
      <w:bookmarkEnd w:id="993"/>
      <w:bookmarkEnd w:id="994"/>
      <w:bookmarkEnd w:id="995"/>
      <w:bookmarkEnd w:id="996"/>
      <w:bookmarkEnd w:id="997"/>
    </w:p>
    <w:tbl>
      <w:tblPr>
        <w:tblStyle w:val="34"/>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9172"/>
      </w:tblGrid>
      <w:tr w14:paraId="35ECEE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526" w:hRule="atLeast"/>
        </w:trPr>
        <w:tc>
          <w:tcPr>
            <w:tcW w:w="9172" w:type="dxa"/>
            <w:tcBorders>
              <w:tl2br w:val="nil"/>
              <w:tr2bl w:val="nil"/>
            </w:tcBorders>
          </w:tcPr>
          <w:p w14:paraId="532AB267">
            <w:pPr>
              <w:pStyle w:val="71"/>
              <w:rPr>
                <w:rFonts w:ascii="黑体"/>
                <w:color w:val="auto"/>
                <w:sz w:val="20"/>
                <w:highlight w:val="none"/>
              </w:rPr>
            </w:pPr>
          </w:p>
          <w:p w14:paraId="573B62D2">
            <w:pPr>
              <w:pStyle w:val="71"/>
              <w:rPr>
                <w:rFonts w:ascii="黑体"/>
                <w:color w:val="auto"/>
                <w:sz w:val="20"/>
                <w:highlight w:val="none"/>
              </w:rPr>
            </w:pPr>
          </w:p>
          <w:p w14:paraId="553A7431">
            <w:pPr>
              <w:pStyle w:val="71"/>
              <w:spacing w:before="136"/>
              <w:rPr>
                <w:color w:val="auto"/>
                <w:sz w:val="21"/>
                <w:highlight w:val="none"/>
              </w:rPr>
            </w:pPr>
            <w:r>
              <w:rPr>
                <w:color w:val="auto"/>
                <w:sz w:val="21"/>
                <w:highlight w:val="none"/>
              </w:rPr>
              <w:t>以框图方式表示。</w:t>
            </w:r>
          </w:p>
        </w:tc>
      </w:tr>
      <w:tr w14:paraId="098A827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3" w:hRule="atLeast"/>
        </w:trPr>
        <w:tc>
          <w:tcPr>
            <w:tcW w:w="9172" w:type="dxa"/>
            <w:tcBorders>
              <w:tl2br w:val="nil"/>
              <w:tr2bl w:val="nil"/>
            </w:tcBorders>
          </w:tcPr>
          <w:p w14:paraId="5BF6F73B">
            <w:pPr>
              <w:pStyle w:val="71"/>
              <w:spacing w:before="128"/>
              <w:rPr>
                <w:color w:val="auto"/>
                <w:sz w:val="21"/>
                <w:highlight w:val="none"/>
              </w:rPr>
            </w:pPr>
            <w:r>
              <w:rPr>
                <w:color w:val="auto"/>
                <w:sz w:val="21"/>
                <w:highlight w:val="none"/>
              </w:rPr>
              <w:t>说明</w:t>
            </w:r>
          </w:p>
        </w:tc>
      </w:tr>
    </w:tbl>
    <w:p w14:paraId="4EFC72D6">
      <w:pPr>
        <w:pStyle w:val="68"/>
        <w:jc w:val="center"/>
        <w:rPr>
          <w:color w:val="auto"/>
          <w:sz w:val="30"/>
          <w:szCs w:val="30"/>
          <w:highlight w:val="none"/>
        </w:rPr>
      </w:pPr>
      <w:r>
        <w:rPr>
          <w:color w:val="auto"/>
          <w:sz w:val="28"/>
          <w:szCs w:val="28"/>
          <w:highlight w:val="none"/>
        </w:rPr>
        <w:br w:type="page"/>
      </w:r>
      <w:bookmarkStart w:id="998" w:name="_Toc10783"/>
      <w:bookmarkStart w:id="999" w:name="_Toc24966"/>
      <w:bookmarkStart w:id="1000" w:name="_Toc610"/>
      <w:bookmarkStart w:id="1001" w:name="_Toc22199"/>
      <w:bookmarkStart w:id="1002" w:name="_Toc28442"/>
      <w:bookmarkStart w:id="1003" w:name="_Toc31218"/>
      <w:r>
        <w:rPr>
          <w:rFonts w:hint="eastAsia"/>
          <w:color w:val="auto"/>
          <w:sz w:val="30"/>
          <w:szCs w:val="30"/>
          <w:highlight w:val="none"/>
        </w:rPr>
        <w:t>（三）近年完成的类似项目情况表</w:t>
      </w:r>
      <w:bookmarkEnd w:id="998"/>
      <w:bookmarkEnd w:id="999"/>
      <w:bookmarkEnd w:id="1000"/>
      <w:bookmarkEnd w:id="1001"/>
      <w:bookmarkEnd w:id="1002"/>
      <w:bookmarkEnd w:id="1003"/>
    </w:p>
    <w:tbl>
      <w:tblPr>
        <w:tblStyle w:val="34"/>
        <w:tblW w:w="0" w:type="auto"/>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700"/>
        <w:gridCol w:w="6480"/>
      </w:tblGrid>
      <w:tr w14:paraId="2EBD41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3CB8C508">
            <w:pPr>
              <w:autoSpaceDE w:val="0"/>
              <w:autoSpaceDN w:val="0"/>
              <w:jc w:val="center"/>
              <w:rPr>
                <w:color w:val="auto"/>
                <w:szCs w:val="21"/>
                <w:highlight w:val="none"/>
              </w:rPr>
            </w:pPr>
            <w:r>
              <w:rPr>
                <w:rFonts w:hint="eastAsia"/>
                <w:color w:val="auto"/>
                <w:szCs w:val="21"/>
                <w:highlight w:val="none"/>
              </w:rPr>
              <w:t>序号</w:t>
            </w:r>
          </w:p>
        </w:tc>
        <w:tc>
          <w:tcPr>
            <w:tcW w:w="6480" w:type="dxa"/>
            <w:tcBorders>
              <w:tl2br w:val="nil"/>
              <w:tr2bl w:val="nil"/>
            </w:tcBorders>
            <w:vAlign w:val="center"/>
          </w:tcPr>
          <w:p w14:paraId="04300AD2">
            <w:pPr>
              <w:pStyle w:val="14"/>
              <w:spacing w:line="260" w:lineRule="exact"/>
              <w:jc w:val="center"/>
              <w:rPr>
                <w:color w:val="auto"/>
                <w:highlight w:val="none"/>
              </w:rPr>
            </w:pPr>
          </w:p>
        </w:tc>
      </w:tr>
      <w:tr w14:paraId="6B8C63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70057DE9">
            <w:pPr>
              <w:autoSpaceDE w:val="0"/>
              <w:autoSpaceDN w:val="0"/>
              <w:jc w:val="center"/>
              <w:rPr>
                <w:color w:val="auto"/>
                <w:szCs w:val="21"/>
                <w:highlight w:val="none"/>
              </w:rPr>
            </w:pPr>
            <w:r>
              <w:rPr>
                <w:rFonts w:hint="eastAsia"/>
                <w:color w:val="auto"/>
                <w:szCs w:val="21"/>
                <w:highlight w:val="none"/>
              </w:rPr>
              <w:t>项目名称</w:t>
            </w:r>
          </w:p>
        </w:tc>
        <w:tc>
          <w:tcPr>
            <w:tcW w:w="6480" w:type="dxa"/>
            <w:tcBorders>
              <w:tl2br w:val="nil"/>
              <w:tr2bl w:val="nil"/>
            </w:tcBorders>
            <w:vAlign w:val="center"/>
          </w:tcPr>
          <w:p w14:paraId="62B10DD6">
            <w:pPr>
              <w:pStyle w:val="14"/>
              <w:spacing w:line="260" w:lineRule="exact"/>
              <w:jc w:val="center"/>
              <w:rPr>
                <w:color w:val="auto"/>
                <w:highlight w:val="none"/>
              </w:rPr>
            </w:pPr>
          </w:p>
        </w:tc>
      </w:tr>
      <w:tr w14:paraId="5350BB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021113E0">
            <w:pPr>
              <w:autoSpaceDE w:val="0"/>
              <w:autoSpaceDN w:val="0"/>
              <w:jc w:val="center"/>
              <w:rPr>
                <w:color w:val="auto"/>
                <w:szCs w:val="21"/>
                <w:highlight w:val="none"/>
              </w:rPr>
            </w:pPr>
            <w:r>
              <w:rPr>
                <w:rFonts w:hint="eastAsia"/>
                <w:color w:val="auto"/>
                <w:szCs w:val="21"/>
                <w:highlight w:val="none"/>
              </w:rPr>
              <w:t>项目所在地</w:t>
            </w:r>
          </w:p>
        </w:tc>
        <w:tc>
          <w:tcPr>
            <w:tcW w:w="6480" w:type="dxa"/>
            <w:tcBorders>
              <w:tl2br w:val="nil"/>
              <w:tr2bl w:val="nil"/>
            </w:tcBorders>
            <w:vAlign w:val="center"/>
          </w:tcPr>
          <w:p w14:paraId="1BA88032">
            <w:pPr>
              <w:pStyle w:val="14"/>
              <w:spacing w:line="260" w:lineRule="exact"/>
              <w:jc w:val="center"/>
              <w:rPr>
                <w:color w:val="auto"/>
                <w:highlight w:val="none"/>
              </w:rPr>
            </w:pPr>
          </w:p>
        </w:tc>
      </w:tr>
      <w:tr w14:paraId="59B1FB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68A2BD91">
            <w:pPr>
              <w:autoSpaceDE w:val="0"/>
              <w:autoSpaceDN w:val="0"/>
              <w:jc w:val="center"/>
              <w:rPr>
                <w:color w:val="auto"/>
                <w:szCs w:val="21"/>
                <w:highlight w:val="none"/>
              </w:rPr>
            </w:pPr>
            <w:r>
              <w:rPr>
                <w:rFonts w:hint="eastAsia"/>
                <w:color w:val="auto"/>
                <w:szCs w:val="21"/>
                <w:highlight w:val="none"/>
              </w:rPr>
              <w:t>发包人名称</w:t>
            </w:r>
          </w:p>
        </w:tc>
        <w:tc>
          <w:tcPr>
            <w:tcW w:w="6480" w:type="dxa"/>
            <w:tcBorders>
              <w:tl2br w:val="nil"/>
              <w:tr2bl w:val="nil"/>
            </w:tcBorders>
            <w:vAlign w:val="center"/>
          </w:tcPr>
          <w:p w14:paraId="49F9382D">
            <w:pPr>
              <w:pStyle w:val="14"/>
              <w:spacing w:line="260" w:lineRule="exact"/>
              <w:jc w:val="center"/>
              <w:rPr>
                <w:color w:val="auto"/>
                <w:highlight w:val="none"/>
              </w:rPr>
            </w:pPr>
          </w:p>
        </w:tc>
      </w:tr>
      <w:tr w14:paraId="127C2B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29BB9192">
            <w:pPr>
              <w:autoSpaceDE w:val="0"/>
              <w:autoSpaceDN w:val="0"/>
              <w:jc w:val="center"/>
              <w:rPr>
                <w:color w:val="auto"/>
                <w:szCs w:val="21"/>
                <w:highlight w:val="none"/>
              </w:rPr>
            </w:pPr>
            <w:r>
              <w:rPr>
                <w:rFonts w:hint="eastAsia"/>
                <w:color w:val="auto"/>
                <w:szCs w:val="21"/>
                <w:highlight w:val="none"/>
              </w:rPr>
              <w:t>发包人地址</w:t>
            </w:r>
          </w:p>
        </w:tc>
        <w:tc>
          <w:tcPr>
            <w:tcW w:w="6480" w:type="dxa"/>
            <w:tcBorders>
              <w:tl2br w:val="nil"/>
              <w:tr2bl w:val="nil"/>
            </w:tcBorders>
            <w:vAlign w:val="center"/>
          </w:tcPr>
          <w:p w14:paraId="1C84C822">
            <w:pPr>
              <w:pStyle w:val="14"/>
              <w:spacing w:line="260" w:lineRule="exact"/>
              <w:jc w:val="center"/>
              <w:rPr>
                <w:color w:val="auto"/>
                <w:highlight w:val="none"/>
              </w:rPr>
            </w:pPr>
          </w:p>
        </w:tc>
      </w:tr>
      <w:tr w14:paraId="54B672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5CFAF429">
            <w:pPr>
              <w:autoSpaceDE w:val="0"/>
              <w:autoSpaceDN w:val="0"/>
              <w:jc w:val="center"/>
              <w:rPr>
                <w:color w:val="auto"/>
                <w:szCs w:val="21"/>
                <w:highlight w:val="none"/>
              </w:rPr>
            </w:pPr>
            <w:r>
              <w:rPr>
                <w:rFonts w:hint="eastAsia"/>
                <w:color w:val="auto"/>
                <w:szCs w:val="21"/>
                <w:highlight w:val="none"/>
              </w:rPr>
              <w:t>发包人电话</w:t>
            </w:r>
          </w:p>
        </w:tc>
        <w:tc>
          <w:tcPr>
            <w:tcW w:w="6480" w:type="dxa"/>
            <w:tcBorders>
              <w:tl2br w:val="nil"/>
              <w:tr2bl w:val="nil"/>
            </w:tcBorders>
            <w:vAlign w:val="center"/>
          </w:tcPr>
          <w:p w14:paraId="7D409750">
            <w:pPr>
              <w:pStyle w:val="14"/>
              <w:spacing w:line="260" w:lineRule="exact"/>
              <w:jc w:val="center"/>
              <w:rPr>
                <w:color w:val="auto"/>
                <w:highlight w:val="none"/>
              </w:rPr>
            </w:pPr>
          </w:p>
        </w:tc>
      </w:tr>
      <w:tr w14:paraId="139213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01B3E966">
            <w:pPr>
              <w:autoSpaceDE w:val="0"/>
              <w:autoSpaceDN w:val="0"/>
              <w:jc w:val="center"/>
              <w:rPr>
                <w:color w:val="auto"/>
                <w:szCs w:val="21"/>
                <w:highlight w:val="none"/>
              </w:rPr>
            </w:pPr>
            <w:r>
              <w:rPr>
                <w:rFonts w:hint="eastAsia"/>
                <w:color w:val="auto"/>
                <w:szCs w:val="21"/>
                <w:highlight w:val="none"/>
              </w:rPr>
              <w:t>项目等级</w:t>
            </w:r>
          </w:p>
        </w:tc>
        <w:tc>
          <w:tcPr>
            <w:tcW w:w="6480" w:type="dxa"/>
            <w:tcBorders>
              <w:tl2br w:val="nil"/>
              <w:tr2bl w:val="nil"/>
            </w:tcBorders>
            <w:vAlign w:val="center"/>
          </w:tcPr>
          <w:p w14:paraId="305D7A7E">
            <w:pPr>
              <w:pStyle w:val="14"/>
              <w:spacing w:line="260" w:lineRule="exact"/>
              <w:jc w:val="center"/>
              <w:rPr>
                <w:color w:val="auto"/>
                <w:highlight w:val="none"/>
              </w:rPr>
            </w:pPr>
          </w:p>
        </w:tc>
      </w:tr>
      <w:tr w14:paraId="56AA78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6876CD81">
            <w:pPr>
              <w:autoSpaceDE w:val="0"/>
              <w:autoSpaceDN w:val="0"/>
              <w:jc w:val="center"/>
              <w:rPr>
                <w:color w:val="auto"/>
                <w:szCs w:val="21"/>
                <w:highlight w:val="none"/>
              </w:rPr>
            </w:pPr>
            <w:r>
              <w:rPr>
                <w:rFonts w:hint="eastAsia"/>
                <w:color w:val="auto"/>
                <w:szCs w:val="21"/>
                <w:highlight w:val="none"/>
              </w:rPr>
              <w:t>项目总投资</w:t>
            </w:r>
          </w:p>
        </w:tc>
        <w:tc>
          <w:tcPr>
            <w:tcW w:w="6480" w:type="dxa"/>
            <w:tcBorders>
              <w:tl2br w:val="nil"/>
              <w:tr2bl w:val="nil"/>
            </w:tcBorders>
            <w:vAlign w:val="center"/>
          </w:tcPr>
          <w:p w14:paraId="1F588DFD">
            <w:pPr>
              <w:pStyle w:val="14"/>
              <w:spacing w:line="260" w:lineRule="exact"/>
              <w:jc w:val="center"/>
              <w:rPr>
                <w:color w:val="auto"/>
                <w:highlight w:val="none"/>
              </w:rPr>
            </w:pPr>
          </w:p>
        </w:tc>
      </w:tr>
      <w:tr w14:paraId="1D44AA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5BD7A5D3">
            <w:pPr>
              <w:autoSpaceDE w:val="0"/>
              <w:autoSpaceDN w:val="0"/>
              <w:jc w:val="center"/>
              <w:rPr>
                <w:color w:val="auto"/>
                <w:szCs w:val="21"/>
                <w:highlight w:val="none"/>
              </w:rPr>
            </w:pPr>
            <w:r>
              <w:rPr>
                <w:rFonts w:hint="eastAsia"/>
                <w:color w:val="auto"/>
                <w:szCs w:val="21"/>
                <w:highlight w:val="none"/>
              </w:rPr>
              <w:t>合同价格</w:t>
            </w:r>
          </w:p>
        </w:tc>
        <w:tc>
          <w:tcPr>
            <w:tcW w:w="6480" w:type="dxa"/>
            <w:tcBorders>
              <w:tl2br w:val="nil"/>
              <w:tr2bl w:val="nil"/>
            </w:tcBorders>
            <w:vAlign w:val="center"/>
          </w:tcPr>
          <w:p w14:paraId="6D4CC991">
            <w:pPr>
              <w:pStyle w:val="14"/>
              <w:spacing w:line="260" w:lineRule="exact"/>
              <w:jc w:val="center"/>
              <w:rPr>
                <w:color w:val="auto"/>
                <w:highlight w:val="none"/>
              </w:rPr>
            </w:pPr>
          </w:p>
        </w:tc>
      </w:tr>
      <w:tr w14:paraId="3AC7E5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2D592250">
            <w:pPr>
              <w:autoSpaceDE w:val="0"/>
              <w:autoSpaceDN w:val="0"/>
              <w:jc w:val="center"/>
              <w:rPr>
                <w:color w:val="auto"/>
                <w:szCs w:val="21"/>
                <w:highlight w:val="none"/>
              </w:rPr>
            </w:pPr>
            <w:r>
              <w:rPr>
                <w:rFonts w:hint="eastAsia"/>
                <w:color w:val="auto"/>
                <w:szCs w:val="21"/>
                <w:highlight w:val="none"/>
              </w:rPr>
              <w:t>承担的设计工作</w:t>
            </w:r>
          </w:p>
        </w:tc>
        <w:tc>
          <w:tcPr>
            <w:tcW w:w="6480" w:type="dxa"/>
            <w:tcBorders>
              <w:tl2br w:val="nil"/>
              <w:tr2bl w:val="nil"/>
            </w:tcBorders>
            <w:vAlign w:val="center"/>
          </w:tcPr>
          <w:p w14:paraId="609285D8">
            <w:pPr>
              <w:pStyle w:val="14"/>
              <w:spacing w:line="260" w:lineRule="exact"/>
              <w:jc w:val="center"/>
              <w:rPr>
                <w:color w:val="auto"/>
                <w:highlight w:val="none"/>
              </w:rPr>
            </w:pPr>
          </w:p>
        </w:tc>
      </w:tr>
      <w:tr w14:paraId="643458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15AE2A60">
            <w:pPr>
              <w:autoSpaceDE w:val="0"/>
              <w:autoSpaceDN w:val="0"/>
              <w:jc w:val="center"/>
              <w:rPr>
                <w:color w:val="auto"/>
                <w:szCs w:val="21"/>
                <w:highlight w:val="none"/>
              </w:rPr>
            </w:pPr>
            <w:r>
              <w:rPr>
                <w:rFonts w:hint="eastAsia"/>
                <w:color w:val="auto"/>
                <w:szCs w:val="21"/>
                <w:highlight w:val="none"/>
              </w:rPr>
              <w:t>设计服务期限</w:t>
            </w:r>
          </w:p>
        </w:tc>
        <w:tc>
          <w:tcPr>
            <w:tcW w:w="6480" w:type="dxa"/>
            <w:tcBorders>
              <w:tl2br w:val="nil"/>
              <w:tr2bl w:val="nil"/>
            </w:tcBorders>
            <w:vAlign w:val="center"/>
          </w:tcPr>
          <w:p w14:paraId="742E782D">
            <w:pPr>
              <w:pStyle w:val="14"/>
              <w:spacing w:line="260" w:lineRule="exact"/>
              <w:jc w:val="center"/>
              <w:rPr>
                <w:color w:val="auto"/>
                <w:highlight w:val="none"/>
              </w:rPr>
            </w:pPr>
          </w:p>
        </w:tc>
      </w:tr>
      <w:tr w14:paraId="0825C5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0C401D42">
            <w:pPr>
              <w:autoSpaceDE w:val="0"/>
              <w:autoSpaceDN w:val="0"/>
              <w:jc w:val="center"/>
              <w:rPr>
                <w:color w:val="auto"/>
                <w:szCs w:val="21"/>
                <w:highlight w:val="none"/>
              </w:rPr>
            </w:pPr>
            <w:r>
              <w:rPr>
                <w:rFonts w:hint="eastAsia"/>
                <w:color w:val="auto"/>
                <w:szCs w:val="21"/>
                <w:highlight w:val="none"/>
              </w:rPr>
              <w:t>项目负责人</w:t>
            </w:r>
          </w:p>
        </w:tc>
        <w:tc>
          <w:tcPr>
            <w:tcW w:w="6480" w:type="dxa"/>
            <w:tcBorders>
              <w:tl2br w:val="nil"/>
              <w:tr2bl w:val="nil"/>
            </w:tcBorders>
            <w:vAlign w:val="center"/>
          </w:tcPr>
          <w:p w14:paraId="111D9531">
            <w:pPr>
              <w:pStyle w:val="14"/>
              <w:spacing w:line="260" w:lineRule="exact"/>
              <w:jc w:val="center"/>
              <w:rPr>
                <w:color w:val="auto"/>
                <w:highlight w:val="none"/>
              </w:rPr>
            </w:pPr>
          </w:p>
        </w:tc>
      </w:tr>
      <w:tr w14:paraId="7B2341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6CB03E5D">
            <w:pPr>
              <w:autoSpaceDE w:val="0"/>
              <w:autoSpaceDN w:val="0"/>
              <w:jc w:val="center"/>
              <w:rPr>
                <w:color w:val="auto"/>
                <w:szCs w:val="21"/>
                <w:highlight w:val="none"/>
              </w:rPr>
            </w:pPr>
            <w:r>
              <w:rPr>
                <w:rFonts w:hint="eastAsia"/>
                <w:color w:val="auto"/>
                <w:szCs w:val="21"/>
                <w:highlight w:val="none"/>
              </w:rPr>
              <w:t>项目完成情况</w:t>
            </w:r>
          </w:p>
        </w:tc>
        <w:tc>
          <w:tcPr>
            <w:tcW w:w="6480" w:type="dxa"/>
            <w:tcBorders>
              <w:tl2br w:val="nil"/>
              <w:tr2bl w:val="nil"/>
            </w:tcBorders>
            <w:vAlign w:val="center"/>
          </w:tcPr>
          <w:p w14:paraId="242E0605">
            <w:pPr>
              <w:pStyle w:val="14"/>
              <w:spacing w:line="260" w:lineRule="exact"/>
              <w:jc w:val="center"/>
              <w:rPr>
                <w:color w:val="auto"/>
                <w:highlight w:val="none"/>
              </w:rPr>
            </w:pPr>
          </w:p>
        </w:tc>
      </w:tr>
      <w:tr w14:paraId="7B8F27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700" w:type="dxa"/>
            <w:tcBorders>
              <w:tl2br w:val="nil"/>
              <w:tr2bl w:val="nil"/>
            </w:tcBorders>
            <w:vAlign w:val="center"/>
          </w:tcPr>
          <w:p w14:paraId="2F6C5213">
            <w:pPr>
              <w:autoSpaceDE w:val="0"/>
              <w:autoSpaceDN w:val="0"/>
              <w:jc w:val="center"/>
              <w:rPr>
                <w:color w:val="auto"/>
                <w:szCs w:val="21"/>
                <w:highlight w:val="none"/>
              </w:rPr>
            </w:pPr>
            <w:r>
              <w:rPr>
                <w:rFonts w:hint="eastAsia"/>
                <w:color w:val="auto"/>
                <w:szCs w:val="21"/>
                <w:highlight w:val="none"/>
              </w:rPr>
              <w:t>项目描述</w:t>
            </w:r>
          </w:p>
        </w:tc>
        <w:tc>
          <w:tcPr>
            <w:tcW w:w="6480" w:type="dxa"/>
            <w:tcBorders>
              <w:tl2br w:val="nil"/>
              <w:tr2bl w:val="nil"/>
            </w:tcBorders>
            <w:vAlign w:val="center"/>
          </w:tcPr>
          <w:p w14:paraId="65B1BEBF">
            <w:pPr>
              <w:pStyle w:val="14"/>
              <w:spacing w:line="260" w:lineRule="exact"/>
              <w:jc w:val="center"/>
              <w:rPr>
                <w:color w:val="auto"/>
                <w:highlight w:val="none"/>
              </w:rPr>
            </w:pPr>
          </w:p>
        </w:tc>
      </w:tr>
      <w:tr w14:paraId="386580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tcBorders>
              <w:tl2br w:val="nil"/>
              <w:tr2bl w:val="nil"/>
            </w:tcBorders>
            <w:vAlign w:val="center"/>
          </w:tcPr>
          <w:p w14:paraId="17A179C7">
            <w:pPr>
              <w:autoSpaceDE w:val="0"/>
              <w:autoSpaceDN w:val="0"/>
              <w:jc w:val="center"/>
              <w:rPr>
                <w:color w:val="auto"/>
                <w:szCs w:val="21"/>
                <w:highlight w:val="none"/>
              </w:rPr>
            </w:pPr>
            <w:r>
              <w:rPr>
                <w:rFonts w:hint="eastAsia"/>
                <w:color w:val="auto"/>
                <w:szCs w:val="21"/>
                <w:highlight w:val="none"/>
              </w:rPr>
              <w:t>备    注</w:t>
            </w:r>
          </w:p>
        </w:tc>
        <w:tc>
          <w:tcPr>
            <w:tcW w:w="6480" w:type="dxa"/>
            <w:tcBorders>
              <w:tl2br w:val="nil"/>
              <w:tr2bl w:val="nil"/>
            </w:tcBorders>
            <w:vAlign w:val="center"/>
          </w:tcPr>
          <w:p w14:paraId="6FA37366">
            <w:pPr>
              <w:pStyle w:val="14"/>
              <w:spacing w:line="260" w:lineRule="exact"/>
              <w:jc w:val="center"/>
              <w:rPr>
                <w:color w:val="auto"/>
                <w:highlight w:val="none"/>
              </w:rPr>
            </w:pPr>
          </w:p>
        </w:tc>
      </w:tr>
    </w:tbl>
    <w:p w14:paraId="64DB345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注：1</w:t>
      </w:r>
      <w:r>
        <w:rPr>
          <w:rFonts w:hint="eastAsia" w:ascii="宋体" w:hAnsi="宋体"/>
          <w:color w:val="auto"/>
          <w:highlight w:val="none"/>
        </w:rPr>
        <w:t>.</w:t>
      </w:r>
      <w:r>
        <w:rPr>
          <w:color w:val="auto"/>
          <w:highlight w:val="none"/>
        </w:rPr>
        <w:t>每张表格只填写一个项目，并标明序号</w:t>
      </w:r>
      <w:r>
        <w:rPr>
          <w:rFonts w:hint="eastAsia" w:ascii="宋体" w:hAnsi="宋体"/>
          <w:color w:val="auto"/>
          <w:highlight w:val="none"/>
        </w:rPr>
        <w:t>。</w:t>
      </w:r>
    </w:p>
    <w:p w14:paraId="6982C9D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highlight w:val="none"/>
        </w:rPr>
        <w:t>.</w:t>
      </w:r>
      <w:r>
        <w:rPr>
          <w:color w:val="auto"/>
          <w:spacing w:val="-8"/>
          <w:highlight w:val="none"/>
        </w:rPr>
        <w:t>项目完成情况：根据先后顺序分为</w:t>
      </w:r>
      <w:r>
        <w:rPr>
          <w:rFonts w:hint="eastAsia"/>
          <w:color w:val="auto"/>
          <w:spacing w:val="-8"/>
          <w:highlight w:val="none"/>
        </w:rPr>
        <w:t>“</w:t>
      </w:r>
      <w:r>
        <w:rPr>
          <w:color w:val="auto"/>
          <w:spacing w:val="-8"/>
          <w:highlight w:val="none"/>
        </w:rPr>
        <w:t>初步设计已批复</w:t>
      </w:r>
      <w:r>
        <w:rPr>
          <w:rFonts w:hint="eastAsia"/>
          <w:color w:val="auto"/>
          <w:spacing w:val="-8"/>
          <w:highlight w:val="none"/>
        </w:rPr>
        <w:t>”“</w:t>
      </w:r>
      <w:r>
        <w:rPr>
          <w:color w:val="auto"/>
          <w:spacing w:val="-8"/>
          <w:highlight w:val="none"/>
        </w:rPr>
        <w:t>施工图设计已审批</w:t>
      </w:r>
      <w:r>
        <w:rPr>
          <w:rFonts w:hint="eastAsia"/>
          <w:color w:val="auto"/>
          <w:spacing w:val="-8"/>
          <w:highlight w:val="none"/>
        </w:rPr>
        <w:t>”</w:t>
      </w:r>
      <w:r>
        <w:rPr>
          <w:color w:val="auto"/>
          <w:spacing w:val="-8"/>
          <w:highlight w:val="none"/>
        </w:rPr>
        <w:t>等不同阶</w:t>
      </w:r>
      <w:r>
        <w:rPr>
          <w:color w:val="auto"/>
          <w:spacing w:val="-5"/>
          <w:highlight w:val="none"/>
        </w:rPr>
        <w:t>段，</w:t>
      </w:r>
      <w:r>
        <w:rPr>
          <w:rFonts w:hint="eastAsia"/>
          <w:color w:val="auto"/>
          <w:spacing w:val="-5"/>
          <w:highlight w:val="none"/>
        </w:rPr>
        <w:t>竞包</w:t>
      </w:r>
      <w:r>
        <w:rPr>
          <w:color w:val="auto"/>
          <w:spacing w:val="-5"/>
          <w:highlight w:val="none"/>
        </w:rPr>
        <w:t>人应根据项目实际完成情况进行填报</w:t>
      </w:r>
      <w:r>
        <w:rPr>
          <w:rFonts w:hint="eastAsia" w:ascii="宋体" w:hAnsi="宋体"/>
          <w:color w:val="auto"/>
          <w:szCs w:val="21"/>
          <w:highlight w:val="none"/>
        </w:rPr>
        <w:t>。</w:t>
      </w:r>
    </w:p>
    <w:p w14:paraId="73CB8386">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3</w:t>
      </w:r>
      <w:r>
        <w:rPr>
          <w:rFonts w:hint="eastAsia" w:ascii="宋体" w:hAnsi="宋体"/>
          <w:color w:val="auto"/>
          <w:highlight w:val="none"/>
        </w:rPr>
        <w:t>.</w:t>
      </w:r>
      <w:r>
        <w:rPr>
          <w:rFonts w:hint="eastAsia"/>
          <w:color w:val="auto"/>
          <w:spacing w:val="-5"/>
          <w:highlight w:val="none"/>
        </w:rPr>
        <w:t>竞包</w:t>
      </w:r>
      <w:r>
        <w:rPr>
          <w:color w:val="auto"/>
          <w:spacing w:val="-5"/>
          <w:highlight w:val="none"/>
        </w:rPr>
        <w:t>人应根据</w:t>
      </w:r>
      <w:r>
        <w:rPr>
          <w:rFonts w:hint="eastAsia"/>
          <w:color w:val="auto"/>
          <w:spacing w:val="-5"/>
          <w:highlight w:val="none"/>
        </w:rPr>
        <w:t>发包</w:t>
      </w:r>
      <w:r>
        <w:rPr>
          <w:color w:val="auto"/>
          <w:spacing w:val="-5"/>
          <w:highlight w:val="none"/>
        </w:rPr>
        <w:t>文件第二章</w:t>
      </w:r>
      <w:r>
        <w:rPr>
          <w:rFonts w:hint="eastAsia"/>
          <w:color w:val="auto"/>
          <w:spacing w:val="-5"/>
          <w:highlight w:val="none"/>
        </w:rPr>
        <w:t>“竞包</w:t>
      </w:r>
      <w:r>
        <w:rPr>
          <w:color w:val="auto"/>
          <w:spacing w:val="-5"/>
          <w:highlight w:val="none"/>
        </w:rPr>
        <w:t>人须知</w:t>
      </w:r>
      <w:r>
        <w:rPr>
          <w:rFonts w:hint="eastAsia"/>
          <w:color w:val="auto"/>
          <w:spacing w:val="-5"/>
          <w:highlight w:val="none"/>
        </w:rPr>
        <w:t>”</w:t>
      </w:r>
      <w:r>
        <w:rPr>
          <w:color w:val="auto"/>
          <w:spacing w:val="-5"/>
          <w:highlight w:val="none"/>
        </w:rPr>
        <w:t>第</w:t>
      </w:r>
      <w:r>
        <w:rPr>
          <w:rFonts w:eastAsia="Times New Roman"/>
          <w:color w:val="auto"/>
          <w:highlight w:val="none"/>
        </w:rPr>
        <w:t>3.5.2</w:t>
      </w:r>
      <w:r>
        <w:rPr>
          <w:color w:val="auto"/>
          <w:spacing w:val="-3"/>
          <w:highlight w:val="none"/>
        </w:rPr>
        <w:t>项的要求在本表后附相关证明材料</w:t>
      </w:r>
      <w:r>
        <w:rPr>
          <w:rFonts w:hint="eastAsia" w:ascii="宋体" w:hAnsi="宋体"/>
          <w:color w:val="auto"/>
          <w:szCs w:val="21"/>
          <w:highlight w:val="none"/>
        </w:rPr>
        <w:t>。</w:t>
      </w:r>
    </w:p>
    <w:p w14:paraId="6BDFCF0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4.</w:t>
      </w:r>
      <w:r>
        <w:rPr>
          <w:color w:val="auto"/>
          <w:spacing w:val="-3"/>
          <w:highlight w:val="none"/>
        </w:rPr>
        <w:t>如近年来，</w:t>
      </w:r>
      <w:r>
        <w:rPr>
          <w:rFonts w:hint="eastAsia"/>
          <w:color w:val="auto"/>
          <w:spacing w:val="-3"/>
          <w:highlight w:val="none"/>
        </w:rPr>
        <w:t>竞包</w:t>
      </w:r>
      <w:r>
        <w:rPr>
          <w:color w:val="auto"/>
          <w:spacing w:val="-3"/>
          <w:highlight w:val="none"/>
        </w:rPr>
        <w:t>人法人机构发生合法变更或重组或法人名称变更时，应提供</w:t>
      </w:r>
      <w:r>
        <w:rPr>
          <w:rFonts w:hint="eastAsia"/>
          <w:color w:val="auto"/>
          <w:spacing w:val="-3"/>
          <w:highlight w:val="none"/>
        </w:rPr>
        <w:t>法定</w:t>
      </w:r>
      <w:r>
        <w:rPr>
          <w:color w:val="auto"/>
          <w:spacing w:val="-3"/>
          <w:highlight w:val="none"/>
        </w:rPr>
        <w:t>部门的</w:t>
      </w:r>
      <w:r>
        <w:rPr>
          <w:rFonts w:hint="eastAsia"/>
          <w:color w:val="auto"/>
          <w:spacing w:val="-3"/>
          <w:highlight w:val="none"/>
        </w:rPr>
        <w:t>批准材料</w:t>
      </w:r>
      <w:r>
        <w:rPr>
          <w:color w:val="auto"/>
          <w:spacing w:val="-3"/>
          <w:highlight w:val="none"/>
        </w:rPr>
        <w:t>或其他相关证明材料来证明其所附业绩的继承性</w:t>
      </w:r>
      <w:r>
        <w:rPr>
          <w:rFonts w:hint="eastAsia" w:ascii="宋体" w:hAnsi="宋体"/>
          <w:color w:val="auto"/>
          <w:szCs w:val="21"/>
          <w:highlight w:val="none"/>
        </w:rPr>
        <w:t>。</w:t>
      </w:r>
    </w:p>
    <w:p w14:paraId="186E7F8E">
      <w:pPr>
        <w:pStyle w:val="14"/>
        <w:spacing w:line="276" w:lineRule="auto"/>
        <w:ind w:left="0" w:firstLine="0"/>
        <w:rPr>
          <w:color w:val="auto"/>
          <w:highlight w:val="none"/>
        </w:rPr>
      </w:pPr>
      <w:r>
        <w:rPr>
          <w:rFonts w:hint="eastAsia"/>
          <w:color w:val="auto"/>
          <w:highlight w:val="none"/>
        </w:rPr>
        <w:t>5</w:t>
      </w:r>
      <w:r>
        <w:rPr>
          <w:rFonts w:hint="eastAsia" w:ascii="宋体" w:hAnsi="宋体"/>
          <w:color w:val="auto"/>
          <w:highlight w:val="none"/>
        </w:rPr>
        <w:t>.</w:t>
      </w:r>
      <w:r>
        <w:rPr>
          <w:color w:val="auto"/>
          <w:spacing w:val="-3"/>
          <w:highlight w:val="none"/>
        </w:rPr>
        <w:t>以联合体形式参与</w:t>
      </w:r>
      <w:r>
        <w:rPr>
          <w:rFonts w:hint="eastAsia"/>
          <w:color w:val="auto"/>
          <w:spacing w:val="-3"/>
          <w:highlight w:val="none"/>
        </w:rPr>
        <w:t>竞包</w:t>
      </w:r>
      <w:r>
        <w:rPr>
          <w:color w:val="auto"/>
          <w:spacing w:val="-3"/>
          <w:highlight w:val="none"/>
        </w:rPr>
        <w:t>的，联合体各成员应分别填写</w:t>
      </w:r>
      <w:r>
        <w:rPr>
          <w:rFonts w:hint="eastAsia"/>
          <w:color w:val="auto"/>
          <w:highlight w:val="none"/>
        </w:rPr>
        <w:t>。</w:t>
      </w:r>
    </w:p>
    <w:p w14:paraId="7BE4BDC7">
      <w:pPr>
        <w:pStyle w:val="68"/>
        <w:jc w:val="center"/>
        <w:rPr>
          <w:color w:val="auto"/>
          <w:sz w:val="30"/>
          <w:szCs w:val="30"/>
          <w:highlight w:val="none"/>
        </w:rPr>
      </w:pPr>
      <w:r>
        <w:rPr>
          <w:rFonts w:hAnsi="宋体"/>
          <w:color w:val="auto"/>
          <w:szCs w:val="21"/>
          <w:highlight w:val="none"/>
        </w:rPr>
        <w:br w:type="page"/>
      </w:r>
      <w:bookmarkStart w:id="1004" w:name="_Toc28742"/>
      <w:bookmarkStart w:id="1005" w:name="_Toc91"/>
      <w:bookmarkStart w:id="1006" w:name="_Toc28014"/>
      <w:bookmarkStart w:id="1007" w:name="_Toc6871"/>
      <w:bookmarkStart w:id="1008" w:name="_Toc29837"/>
      <w:bookmarkStart w:id="1009" w:name="_Toc206"/>
      <w:r>
        <w:rPr>
          <w:rFonts w:hint="eastAsia"/>
          <w:color w:val="auto"/>
          <w:sz w:val="30"/>
          <w:szCs w:val="30"/>
          <w:highlight w:val="none"/>
        </w:rPr>
        <w:t>（四）竞包人的信誉情况表</w:t>
      </w:r>
      <w:bookmarkEnd w:id="1004"/>
      <w:bookmarkEnd w:id="1005"/>
      <w:bookmarkEnd w:id="1006"/>
      <w:bookmarkEnd w:id="1007"/>
      <w:bookmarkEnd w:id="1008"/>
      <w:bookmarkEnd w:id="1009"/>
    </w:p>
    <w:tbl>
      <w:tblPr>
        <w:tblStyle w:val="34"/>
        <w:tblW w:w="9167"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4615"/>
        <w:gridCol w:w="4552"/>
      </w:tblGrid>
      <w:tr w14:paraId="72462C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70" w:hRule="atLeast"/>
        </w:trPr>
        <w:tc>
          <w:tcPr>
            <w:tcW w:w="4615" w:type="dxa"/>
            <w:tcBorders>
              <w:tl2br w:val="nil"/>
              <w:tr2bl w:val="nil"/>
            </w:tcBorders>
            <w:vAlign w:val="center"/>
          </w:tcPr>
          <w:p w14:paraId="4115E55E">
            <w:pPr>
              <w:pStyle w:val="71"/>
              <w:spacing w:before="1"/>
              <w:ind w:left="1680" w:right="1852"/>
              <w:jc w:val="center"/>
              <w:rPr>
                <w:color w:val="auto"/>
                <w:sz w:val="20"/>
                <w:highlight w:val="none"/>
              </w:rPr>
            </w:pPr>
            <w:r>
              <w:rPr>
                <w:color w:val="auto"/>
                <w:sz w:val="20"/>
                <w:highlight w:val="none"/>
              </w:rPr>
              <w:t>项 目</w:t>
            </w:r>
          </w:p>
        </w:tc>
        <w:tc>
          <w:tcPr>
            <w:tcW w:w="4552" w:type="dxa"/>
            <w:tcBorders>
              <w:tl2br w:val="nil"/>
              <w:tr2bl w:val="nil"/>
            </w:tcBorders>
            <w:vAlign w:val="center"/>
          </w:tcPr>
          <w:p w14:paraId="1530F0A5">
            <w:pPr>
              <w:pStyle w:val="71"/>
              <w:spacing w:before="1"/>
              <w:ind w:right="1406"/>
              <w:jc w:val="center"/>
              <w:rPr>
                <w:color w:val="auto"/>
                <w:sz w:val="20"/>
                <w:highlight w:val="none"/>
              </w:rPr>
            </w:pPr>
            <w:r>
              <w:rPr>
                <w:rFonts w:hint="eastAsia"/>
                <w:color w:val="auto"/>
                <w:sz w:val="20"/>
                <w:highlight w:val="none"/>
              </w:rPr>
              <w:t xml:space="preserve">             竞包</w:t>
            </w:r>
            <w:r>
              <w:rPr>
                <w:color w:val="auto"/>
                <w:sz w:val="20"/>
                <w:highlight w:val="none"/>
              </w:rPr>
              <w:t>人情况说明</w:t>
            </w:r>
          </w:p>
        </w:tc>
      </w:tr>
      <w:tr w14:paraId="67808C7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761" w:hRule="atLeast"/>
        </w:trPr>
        <w:tc>
          <w:tcPr>
            <w:tcW w:w="4615" w:type="dxa"/>
            <w:tcBorders>
              <w:tl2br w:val="nil"/>
              <w:tr2bl w:val="nil"/>
            </w:tcBorders>
          </w:tcPr>
          <w:p w14:paraId="5D871D34">
            <w:pPr>
              <w:spacing w:line="360" w:lineRule="auto"/>
              <w:ind w:right="284" w:firstLine="420" w:firstLineChars="200"/>
              <w:rPr>
                <w:rFonts w:cs="宋体"/>
                <w:color w:val="auto"/>
                <w:szCs w:val="24"/>
                <w:highlight w:val="none"/>
                <w:lang w:bidi="ar"/>
              </w:rPr>
            </w:pPr>
            <w:r>
              <w:rPr>
                <w:rFonts w:hint="eastAsia" w:cs="宋体"/>
                <w:color w:val="auto"/>
                <w:szCs w:val="24"/>
                <w:highlight w:val="none"/>
                <w:lang w:bidi="ar"/>
              </w:rPr>
              <w:t>1</w:t>
            </w:r>
            <w:r>
              <w:rPr>
                <w:rFonts w:hint="eastAsia" w:ascii="宋体" w:hAnsi="宋体"/>
                <w:color w:val="auto"/>
                <w:szCs w:val="20"/>
                <w:highlight w:val="none"/>
              </w:rPr>
              <w:t>.</w:t>
            </w:r>
            <w:r>
              <w:rPr>
                <w:rFonts w:hint="eastAsia" w:cs="宋体"/>
                <w:color w:val="auto"/>
                <w:szCs w:val="24"/>
                <w:highlight w:val="none"/>
                <w:lang w:bidi="ar"/>
              </w:rPr>
              <w:t>近一年（2025年1月1日以来），有无被交通运输部、浙江省交通运输厅、浙江省发展和改革委员会三部门以外的省级及以上单位（部门）书面通报，被限制竞包，并在处罚期内的；</w:t>
            </w:r>
          </w:p>
          <w:p w14:paraId="75CA0DF4">
            <w:pPr>
              <w:spacing w:line="360" w:lineRule="auto"/>
              <w:ind w:right="284" w:firstLine="420" w:firstLineChars="200"/>
              <w:rPr>
                <w:rFonts w:cs="宋体"/>
                <w:color w:val="auto"/>
                <w:szCs w:val="24"/>
                <w:highlight w:val="none"/>
                <w:lang w:bidi="ar"/>
              </w:rPr>
            </w:pPr>
            <w:r>
              <w:rPr>
                <w:rFonts w:hint="eastAsia" w:cs="宋体"/>
                <w:color w:val="auto"/>
                <w:szCs w:val="24"/>
                <w:highlight w:val="none"/>
                <w:lang w:bidi="ar"/>
              </w:rPr>
              <w:t>2</w:t>
            </w:r>
            <w:r>
              <w:rPr>
                <w:rFonts w:hint="eastAsia" w:ascii="宋体" w:hAnsi="宋体"/>
                <w:color w:val="auto"/>
                <w:szCs w:val="20"/>
                <w:highlight w:val="none"/>
              </w:rPr>
              <w:t>.</w:t>
            </w:r>
            <w:r>
              <w:rPr>
                <w:rFonts w:hint="eastAsia" w:cs="宋体"/>
                <w:color w:val="auto"/>
                <w:szCs w:val="24"/>
                <w:highlight w:val="none"/>
                <w:lang w:bidi="ar"/>
              </w:rPr>
              <w:t>近三年（2023年1月1日以来），竞包人或其法定代表人、拟委任的项目负责人在工程建设领域中，有无行贿行为构成或未构成犯罪的（以中国裁判文书网（http://wenshu.court.gov.cn/）网站页面显示内容为准，时间以法院判决书判决时间为准）；</w:t>
            </w:r>
          </w:p>
          <w:p w14:paraId="04A5131B">
            <w:pPr>
              <w:spacing w:line="360" w:lineRule="auto"/>
              <w:ind w:right="284" w:firstLine="420" w:firstLineChars="200"/>
              <w:rPr>
                <w:color w:val="auto"/>
                <w:szCs w:val="24"/>
                <w:highlight w:val="none"/>
                <w:lang w:bidi="ar"/>
              </w:rPr>
            </w:pPr>
            <w:r>
              <w:rPr>
                <w:rFonts w:hint="eastAsia" w:cs="宋体"/>
                <w:color w:val="auto"/>
                <w:szCs w:val="24"/>
                <w:highlight w:val="none"/>
                <w:lang w:bidi="ar"/>
              </w:rPr>
              <w:t>3</w:t>
            </w:r>
            <w:r>
              <w:rPr>
                <w:rFonts w:hint="eastAsia" w:ascii="宋体" w:hAnsi="宋体"/>
                <w:color w:val="auto"/>
                <w:szCs w:val="20"/>
                <w:highlight w:val="none"/>
              </w:rPr>
              <w:t>.</w:t>
            </w:r>
            <w:r>
              <w:rPr>
                <w:rFonts w:hint="eastAsia"/>
                <w:color w:val="auto"/>
                <w:szCs w:val="24"/>
                <w:highlight w:val="none"/>
                <w:lang w:bidi="ar"/>
              </w:rPr>
              <w:t>近三年（</w:t>
            </w:r>
            <w:r>
              <w:rPr>
                <w:rFonts w:hint="eastAsia" w:cs="宋体"/>
                <w:color w:val="auto"/>
                <w:szCs w:val="24"/>
                <w:highlight w:val="none"/>
                <w:lang w:bidi="ar"/>
              </w:rPr>
              <w:t>2023年1月1日以来</w:t>
            </w:r>
            <w:r>
              <w:rPr>
                <w:rFonts w:hint="eastAsia"/>
                <w:color w:val="auto"/>
                <w:szCs w:val="24"/>
                <w:highlight w:val="none"/>
                <w:lang w:bidi="ar"/>
              </w:rPr>
              <w:t>），竞包人有无因公路工程（含附属设施）质量、安全问题等原因被交通运输部或浙江省交通运输厅挂牌督办的；</w:t>
            </w:r>
          </w:p>
          <w:p w14:paraId="42C8A306">
            <w:pPr>
              <w:spacing w:line="360" w:lineRule="auto"/>
              <w:ind w:right="284" w:firstLine="420" w:firstLineChars="200"/>
              <w:rPr>
                <w:rFonts w:cs="宋体"/>
                <w:color w:val="auto"/>
                <w:szCs w:val="24"/>
                <w:highlight w:val="none"/>
                <w:lang w:bidi="ar"/>
              </w:rPr>
            </w:pPr>
            <w:r>
              <w:rPr>
                <w:rFonts w:hint="eastAsia"/>
                <w:color w:val="auto"/>
                <w:szCs w:val="24"/>
                <w:highlight w:val="none"/>
                <w:lang w:bidi="ar"/>
              </w:rPr>
              <w:t>4</w:t>
            </w:r>
            <w:r>
              <w:rPr>
                <w:rFonts w:hint="eastAsia" w:ascii="宋体" w:hAnsi="宋体"/>
                <w:color w:val="auto"/>
                <w:szCs w:val="20"/>
                <w:highlight w:val="none"/>
              </w:rPr>
              <w:t>.</w:t>
            </w:r>
            <w:r>
              <w:rPr>
                <w:rFonts w:hint="eastAsia" w:cs="宋体"/>
                <w:color w:val="auto"/>
                <w:szCs w:val="24"/>
                <w:highlight w:val="none"/>
                <w:lang w:bidi="ar"/>
              </w:rPr>
              <w:t>有无存在竞包人须知第1.4.3、1.4.4项情形；</w:t>
            </w:r>
          </w:p>
          <w:p w14:paraId="73F1CC31">
            <w:pPr>
              <w:pStyle w:val="71"/>
              <w:ind w:firstLine="420" w:firstLineChars="200"/>
              <w:rPr>
                <w:rFonts w:ascii="Times New Roman"/>
                <w:color w:val="auto"/>
                <w:sz w:val="20"/>
                <w:highlight w:val="none"/>
              </w:rPr>
            </w:pPr>
            <w:r>
              <w:rPr>
                <w:rFonts w:hint="eastAsia" w:ascii="Times New Roman" w:hAnsi="Times New Roman"/>
                <w:color w:val="auto"/>
                <w:kern w:val="2"/>
                <w:sz w:val="21"/>
                <w:szCs w:val="24"/>
                <w:highlight w:val="none"/>
                <w:lang w:val="en-US" w:bidi="ar"/>
              </w:rPr>
              <w:t>5</w:t>
            </w:r>
            <w:r>
              <w:rPr>
                <w:rFonts w:hint="eastAsia"/>
                <w:color w:val="auto"/>
                <w:szCs w:val="20"/>
                <w:highlight w:val="none"/>
              </w:rPr>
              <w:t>.</w:t>
            </w:r>
            <w:r>
              <w:rPr>
                <w:rFonts w:hint="eastAsia" w:ascii="Times New Roman" w:hAnsi="Times New Roman"/>
                <w:color w:val="auto"/>
                <w:kern w:val="2"/>
                <w:sz w:val="21"/>
                <w:szCs w:val="24"/>
                <w:highlight w:val="none"/>
                <w:u w:val="single"/>
                <w:lang w:val="en-US" w:bidi="ar"/>
              </w:rPr>
              <w:t xml:space="preserve">       /          </w:t>
            </w:r>
            <w:r>
              <w:rPr>
                <w:rFonts w:hint="eastAsia" w:ascii="Times New Roman" w:hAnsi="Times New Roman"/>
                <w:color w:val="auto"/>
                <w:kern w:val="2"/>
                <w:sz w:val="21"/>
                <w:szCs w:val="24"/>
                <w:highlight w:val="none"/>
                <w:lang w:val="en-US" w:bidi="ar"/>
              </w:rPr>
              <w:t>。</w:t>
            </w:r>
          </w:p>
        </w:tc>
        <w:tc>
          <w:tcPr>
            <w:tcW w:w="4552" w:type="dxa"/>
            <w:tcBorders>
              <w:tl2br w:val="nil"/>
              <w:tr2bl w:val="nil"/>
            </w:tcBorders>
          </w:tcPr>
          <w:p w14:paraId="50298F5A">
            <w:pPr>
              <w:pStyle w:val="71"/>
              <w:rPr>
                <w:rFonts w:ascii="Times New Roman"/>
                <w:color w:val="auto"/>
                <w:sz w:val="20"/>
                <w:highlight w:val="none"/>
              </w:rPr>
            </w:pPr>
          </w:p>
        </w:tc>
      </w:tr>
    </w:tbl>
    <w:p w14:paraId="29860F56">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注：1.竞包人应按照发包文件第二章“竞包人须知”前附表附录 3和“竞包人须知”正文第1.4.4项规定，逐条说明其信誉情况。</w:t>
      </w:r>
    </w:p>
    <w:p w14:paraId="4D15949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2.竞包人应根据发包文件第二章“竞包人须知”第3.5.3 项的要求在本表后附相关证明材料。</w:t>
      </w:r>
    </w:p>
    <w:p w14:paraId="782CCCA2">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3.以联合体形式参与竞包的，联合体各成员应分别填写。</w:t>
      </w:r>
    </w:p>
    <w:p w14:paraId="72C37B89">
      <w:pPr>
        <w:pStyle w:val="68"/>
        <w:jc w:val="center"/>
        <w:rPr>
          <w:color w:val="auto"/>
          <w:sz w:val="30"/>
          <w:szCs w:val="30"/>
          <w:highlight w:val="none"/>
        </w:rPr>
      </w:pPr>
      <w:r>
        <w:rPr>
          <w:color w:val="auto"/>
          <w:spacing w:val="-3"/>
          <w:highlight w:val="none"/>
        </w:rPr>
        <w:br w:type="page"/>
      </w:r>
      <w:bookmarkStart w:id="1010" w:name="_Toc2500"/>
      <w:bookmarkStart w:id="1011" w:name="_Toc30687"/>
      <w:bookmarkStart w:id="1012" w:name="_Toc29262"/>
      <w:bookmarkStart w:id="1013" w:name="_Toc25149"/>
      <w:bookmarkStart w:id="1014" w:name="_Toc32679"/>
      <w:bookmarkStart w:id="1015" w:name="_Toc2130"/>
      <w:r>
        <w:rPr>
          <w:rFonts w:hint="eastAsia"/>
          <w:color w:val="auto"/>
          <w:sz w:val="30"/>
          <w:szCs w:val="30"/>
          <w:highlight w:val="none"/>
        </w:rPr>
        <w:t>（五）拟委任的项目负责人资历表</w:t>
      </w:r>
      <w:bookmarkEnd w:id="1010"/>
      <w:bookmarkEnd w:id="1011"/>
      <w:bookmarkEnd w:id="1012"/>
      <w:bookmarkEnd w:id="1013"/>
      <w:bookmarkEnd w:id="1014"/>
      <w:bookmarkEnd w:id="1015"/>
    </w:p>
    <w:tbl>
      <w:tblPr>
        <w:tblStyle w:val="34"/>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1244"/>
        <w:gridCol w:w="1360"/>
        <w:gridCol w:w="101"/>
        <w:gridCol w:w="1047"/>
        <w:gridCol w:w="1364"/>
        <w:gridCol w:w="334"/>
        <w:gridCol w:w="1522"/>
        <w:gridCol w:w="383"/>
        <w:gridCol w:w="1817"/>
      </w:tblGrid>
      <w:tr w14:paraId="19F4D6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1244" w:type="dxa"/>
            <w:tcBorders>
              <w:tl2br w:val="nil"/>
              <w:tr2bl w:val="nil"/>
            </w:tcBorders>
            <w:vAlign w:val="center"/>
          </w:tcPr>
          <w:p w14:paraId="640F4205">
            <w:pPr>
              <w:autoSpaceDE w:val="0"/>
              <w:autoSpaceDN w:val="0"/>
              <w:jc w:val="center"/>
              <w:rPr>
                <w:rFonts w:ascii="Calibri" w:hAnsi="Calibri"/>
                <w:color w:val="auto"/>
                <w:sz w:val="22"/>
                <w:highlight w:val="none"/>
              </w:rPr>
            </w:pPr>
            <w:r>
              <w:rPr>
                <w:rFonts w:ascii="Calibri" w:hAnsi="Calibri"/>
                <w:color w:val="auto"/>
                <w:sz w:val="22"/>
                <w:highlight w:val="none"/>
              </w:rPr>
              <w:t>姓</w:t>
            </w:r>
            <w:r>
              <w:rPr>
                <w:rFonts w:hint="eastAsia" w:ascii="Calibri" w:hAnsi="Calibri"/>
                <w:color w:val="auto"/>
                <w:sz w:val="22"/>
                <w:highlight w:val="none"/>
              </w:rPr>
              <w:t xml:space="preserve">    </w:t>
            </w:r>
            <w:r>
              <w:rPr>
                <w:rFonts w:ascii="Calibri" w:hAnsi="Calibri"/>
                <w:color w:val="auto"/>
                <w:sz w:val="22"/>
                <w:highlight w:val="none"/>
              </w:rPr>
              <w:t>名</w:t>
            </w:r>
          </w:p>
        </w:tc>
        <w:tc>
          <w:tcPr>
            <w:tcW w:w="1461" w:type="dxa"/>
            <w:gridSpan w:val="2"/>
            <w:tcBorders>
              <w:tl2br w:val="nil"/>
              <w:tr2bl w:val="nil"/>
            </w:tcBorders>
          </w:tcPr>
          <w:p w14:paraId="2EEF657E">
            <w:pPr>
              <w:autoSpaceDE w:val="0"/>
              <w:autoSpaceDN w:val="0"/>
              <w:jc w:val="center"/>
              <w:rPr>
                <w:rFonts w:ascii="Calibri" w:hAnsi="Calibri"/>
                <w:color w:val="auto"/>
                <w:sz w:val="22"/>
                <w:highlight w:val="none"/>
              </w:rPr>
            </w:pPr>
          </w:p>
        </w:tc>
        <w:tc>
          <w:tcPr>
            <w:tcW w:w="1047" w:type="dxa"/>
            <w:tcBorders>
              <w:tl2br w:val="nil"/>
              <w:tr2bl w:val="nil"/>
            </w:tcBorders>
            <w:vAlign w:val="center"/>
          </w:tcPr>
          <w:p w14:paraId="2CB88233">
            <w:pPr>
              <w:autoSpaceDE w:val="0"/>
              <w:autoSpaceDN w:val="0"/>
              <w:jc w:val="center"/>
              <w:rPr>
                <w:rFonts w:ascii="Calibri" w:hAnsi="Calibri"/>
                <w:color w:val="auto"/>
                <w:sz w:val="22"/>
                <w:highlight w:val="none"/>
              </w:rPr>
            </w:pPr>
            <w:r>
              <w:rPr>
                <w:rFonts w:ascii="Calibri" w:hAnsi="Calibri"/>
                <w:color w:val="auto"/>
                <w:sz w:val="22"/>
                <w:highlight w:val="none"/>
              </w:rPr>
              <w:t>年</w:t>
            </w:r>
            <w:r>
              <w:rPr>
                <w:rFonts w:ascii="Calibri" w:hAnsi="Calibri"/>
                <w:color w:val="auto"/>
                <w:sz w:val="22"/>
                <w:highlight w:val="none"/>
              </w:rPr>
              <w:tab/>
            </w:r>
            <w:r>
              <w:rPr>
                <w:rFonts w:ascii="Calibri" w:hAnsi="Calibri"/>
                <w:color w:val="auto"/>
                <w:sz w:val="22"/>
                <w:highlight w:val="none"/>
              </w:rPr>
              <w:t>龄</w:t>
            </w:r>
          </w:p>
        </w:tc>
        <w:tc>
          <w:tcPr>
            <w:tcW w:w="1364" w:type="dxa"/>
            <w:tcBorders>
              <w:tl2br w:val="nil"/>
              <w:tr2bl w:val="nil"/>
            </w:tcBorders>
            <w:vAlign w:val="center"/>
          </w:tcPr>
          <w:p w14:paraId="70B65E42">
            <w:pPr>
              <w:autoSpaceDE w:val="0"/>
              <w:autoSpaceDN w:val="0"/>
              <w:jc w:val="center"/>
              <w:rPr>
                <w:rFonts w:ascii="Calibri" w:hAnsi="Calibri"/>
                <w:color w:val="auto"/>
                <w:sz w:val="22"/>
                <w:highlight w:val="none"/>
              </w:rPr>
            </w:pPr>
          </w:p>
        </w:tc>
        <w:tc>
          <w:tcPr>
            <w:tcW w:w="1856" w:type="dxa"/>
            <w:gridSpan w:val="2"/>
            <w:tcBorders>
              <w:tl2br w:val="nil"/>
              <w:tr2bl w:val="nil"/>
            </w:tcBorders>
            <w:vAlign w:val="center"/>
          </w:tcPr>
          <w:p w14:paraId="1B49F49A">
            <w:pPr>
              <w:autoSpaceDE w:val="0"/>
              <w:autoSpaceDN w:val="0"/>
              <w:jc w:val="center"/>
              <w:rPr>
                <w:rFonts w:ascii="Calibri" w:hAnsi="Calibri"/>
                <w:color w:val="auto"/>
                <w:sz w:val="22"/>
                <w:highlight w:val="none"/>
              </w:rPr>
            </w:pPr>
            <w:r>
              <w:rPr>
                <w:rFonts w:ascii="Calibri" w:hAnsi="Calibri"/>
                <w:color w:val="auto"/>
                <w:sz w:val="22"/>
                <w:highlight w:val="none"/>
              </w:rPr>
              <w:t>执业或职业资格证书名称</w:t>
            </w:r>
          </w:p>
        </w:tc>
        <w:tc>
          <w:tcPr>
            <w:tcW w:w="2200" w:type="dxa"/>
            <w:gridSpan w:val="2"/>
            <w:tcBorders>
              <w:tl2br w:val="nil"/>
              <w:tr2bl w:val="nil"/>
            </w:tcBorders>
          </w:tcPr>
          <w:p w14:paraId="7FDA9476">
            <w:pPr>
              <w:autoSpaceDE w:val="0"/>
              <w:autoSpaceDN w:val="0"/>
              <w:jc w:val="left"/>
              <w:rPr>
                <w:rFonts w:ascii="Calibri" w:hAnsi="宋体" w:cs="宋体"/>
                <w:color w:val="auto"/>
                <w:kern w:val="0"/>
                <w:sz w:val="20"/>
                <w:highlight w:val="none"/>
                <w:lang w:val="zh-CN" w:bidi="zh-CN"/>
              </w:rPr>
            </w:pPr>
          </w:p>
        </w:tc>
      </w:tr>
      <w:tr w14:paraId="7A8A89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81" w:hRule="atLeast"/>
        </w:trPr>
        <w:tc>
          <w:tcPr>
            <w:tcW w:w="1244" w:type="dxa"/>
            <w:tcBorders>
              <w:tl2br w:val="nil"/>
              <w:tr2bl w:val="nil"/>
            </w:tcBorders>
            <w:vAlign w:val="center"/>
          </w:tcPr>
          <w:p w14:paraId="6B14856B">
            <w:pPr>
              <w:autoSpaceDE w:val="0"/>
              <w:autoSpaceDN w:val="0"/>
              <w:jc w:val="center"/>
              <w:rPr>
                <w:rFonts w:ascii="Calibri" w:hAnsi="Calibri"/>
                <w:color w:val="auto"/>
                <w:sz w:val="22"/>
                <w:highlight w:val="none"/>
              </w:rPr>
            </w:pPr>
            <w:r>
              <w:rPr>
                <w:rFonts w:ascii="Calibri" w:hAnsi="Calibri"/>
                <w:color w:val="auto"/>
                <w:sz w:val="22"/>
                <w:highlight w:val="none"/>
              </w:rPr>
              <w:t>技术职称</w:t>
            </w:r>
          </w:p>
        </w:tc>
        <w:tc>
          <w:tcPr>
            <w:tcW w:w="1461" w:type="dxa"/>
            <w:gridSpan w:val="2"/>
            <w:tcBorders>
              <w:tl2br w:val="nil"/>
              <w:tr2bl w:val="nil"/>
            </w:tcBorders>
          </w:tcPr>
          <w:p w14:paraId="5C6D55D8">
            <w:pPr>
              <w:autoSpaceDE w:val="0"/>
              <w:autoSpaceDN w:val="0"/>
              <w:jc w:val="center"/>
              <w:rPr>
                <w:rFonts w:ascii="Calibri" w:hAnsi="Calibri"/>
                <w:color w:val="auto"/>
                <w:sz w:val="22"/>
                <w:highlight w:val="none"/>
              </w:rPr>
            </w:pPr>
          </w:p>
        </w:tc>
        <w:tc>
          <w:tcPr>
            <w:tcW w:w="1047" w:type="dxa"/>
            <w:tcBorders>
              <w:tl2br w:val="nil"/>
              <w:tr2bl w:val="nil"/>
            </w:tcBorders>
            <w:vAlign w:val="center"/>
          </w:tcPr>
          <w:p w14:paraId="7B33D884">
            <w:pPr>
              <w:autoSpaceDE w:val="0"/>
              <w:autoSpaceDN w:val="0"/>
              <w:jc w:val="center"/>
              <w:rPr>
                <w:rFonts w:ascii="Calibri" w:hAnsi="Calibri"/>
                <w:color w:val="auto"/>
                <w:sz w:val="22"/>
                <w:highlight w:val="none"/>
              </w:rPr>
            </w:pPr>
            <w:r>
              <w:rPr>
                <w:rFonts w:ascii="Calibri" w:hAnsi="Calibri"/>
                <w:color w:val="auto"/>
                <w:sz w:val="22"/>
                <w:highlight w:val="none"/>
              </w:rPr>
              <w:t>学</w:t>
            </w:r>
            <w:r>
              <w:rPr>
                <w:rFonts w:ascii="Calibri" w:hAnsi="Calibri"/>
                <w:color w:val="auto"/>
                <w:sz w:val="22"/>
                <w:highlight w:val="none"/>
              </w:rPr>
              <w:tab/>
            </w:r>
            <w:r>
              <w:rPr>
                <w:rFonts w:ascii="Calibri" w:hAnsi="Calibri"/>
                <w:color w:val="auto"/>
                <w:sz w:val="22"/>
                <w:highlight w:val="none"/>
              </w:rPr>
              <w:t>历</w:t>
            </w:r>
          </w:p>
        </w:tc>
        <w:tc>
          <w:tcPr>
            <w:tcW w:w="1364" w:type="dxa"/>
            <w:tcBorders>
              <w:tl2br w:val="nil"/>
              <w:tr2bl w:val="nil"/>
            </w:tcBorders>
            <w:vAlign w:val="center"/>
          </w:tcPr>
          <w:p w14:paraId="4DE14598">
            <w:pPr>
              <w:autoSpaceDE w:val="0"/>
              <w:autoSpaceDN w:val="0"/>
              <w:jc w:val="center"/>
              <w:rPr>
                <w:rFonts w:ascii="Calibri" w:hAnsi="Calibri"/>
                <w:color w:val="auto"/>
                <w:sz w:val="22"/>
                <w:highlight w:val="none"/>
              </w:rPr>
            </w:pPr>
          </w:p>
        </w:tc>
        <w:tc>
          <w:tcPr>
            <w:tcW w:w="1856" w:type="dxa"/>
            <w:gridSpan w:val="2"/>
            <w:tcBorders>
              <w:tl2br w:val="nil"/>
              <w:tr2bl w:val="nil"/>
            </w:tcBorders>
            <w:vAlign w:val="center"/>
          </w:tcPr>
          <w:p w14:paraId="3E2DED3C">
            <w:pPr>
              <w:autoSpaceDE w:val="0"/>
              <w:autoSpaceDN w:val="0"/>
              <w:jc w:val="center"/>
              <w:rPr>
                <w:rFonts w:ascii="Calibri" w:hAnsi="Calibri"/>
                <w:color w:val="auto"/>
                <w:sz w:val="22"/>
                <w:highlight w:val="none"/>
              </w:rPr>
            </w:pPr>
            <w:r>
              <w:rPr>
                <w:rFonts w:ascii="Calibri" w:hAnsi="Calibri"/>
                <w:color w:val="auto"/>
                <w:sz w:val="22"/>
                <w:highlight w:val="none"/>
              </w:rPr>
              <w:t>拟在本标段工程任职</w:t>
            </w:r>
          </w:p>
        </w:tc>
        <w:tc>
          <w:tcPr>
            <w:tcW w:w="2200" w:type="dxa"/>
            <w:gridSpan w:val="2"/>
            <w:tcBorders>
              <w:tl2br w:val="nil"/>
              <w:tr2bl w:val="nil"/>
            </w:tcBorders>
          </w:tcPr>
          <w:p w14:paraId="2852B601">
            <w:pPr>
              <w:autoSpaceDE w:val="0"/>
              <w:autoSpaceDN w:val="0"/>
              <w:jc w:val="left"/>
              <w:rPr>
                <w:rFonts w:ascii="Calibri" w:hAnsi="宋体" w:cs="宋体"/>
                <w:color w:val="auto"/>
                <w:kern w:val="0"/>
                <w:sz w:val="20"/>
                <w:highlight w:val="none"/>
                <w:lang w:val="zh-CN" w:bidi="zh-CN"/>
              </w:rPr>
            </w:pPr>
          </w:p>
        </w:tc>
      </w:tr>
      <w:tr w14:paraId="0C7C717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1244" w:type="dxa"/>
            <w:tcBorders>
              <w:tl2br w:val="nil"/>
              <w:tr2bl w:val="nil"/>
            </w:tcBorders>
            <w:vAlign w:val="center"/>
          </w:tcPr>
          <w:p w14:paraId="6B491931">
            <w:pPr>
              <w:autoSpaceDE w:val="0"/>
              <w:autoSpaceDN w:val="0"/>
              <w:jc w:val="center"/>
              <w:rPr>
                <w:rFonts w:ascii="Calibri" w:hAnsi="Calibri"/>
                <w:color w:val="auto"/>
                <w:sz w:val="22"/>
                <w:highlight w:val="none"/>
              </w:rPr>
            </w:pPr>
            <w:r>
              <w:rPr>
                <w:rFonts w:ascii="Calibri" w:hAnsi="Calibri"/>
                <w:color w:val="auto"/>
                <w:sz w:val="22"/>
                <w:highlight w:val="none"/>
              </w:rPr>
              <w:t>工作年限</w:t>
            </w:r>
          </w:p>
        </w:tc>
        <w:tc>
          <w:tcPr>
            <w:tcW w:w="3872" w:type="dxa"/>
            <w:gridSpan w:val="4"/>
            <w:tcBorders>
              <w:tl2br w:val="nil"/>
              <w:tr2bl w:val="nil"/>
            </w:tcBorders>
            <w:vAlign w:val="center"/>
          </w:tcPr>
          <w:p w14:paraId="1A98579E">
            <w:pPr>
              <w:autoSpaceDE w:val="0"/>
              <w:autoSpaceDN w:val="0"/>
              <w:jc w:val="center"/>
              <w:rPr>
                <w:rFonts w:ascii="Calibri" w:hAnsi="Calibri"/>
                <w:color w:val="auto"/>
                <w:sz w:val="22"/>
                <w:highlight w:val="none"/>
              </w:rPr>
            </w:pPr>
          </w:p>
        </w:tc>
        <w:tc>
          <w:tcPr>
            <w:tcW w:w="1856" w:type="dxa"/>
            <w:gridSpan w:val="2"/>
            <w:tcBorders>
              <w:tl2br w:val="nil"/>
              <w:tr2bl w:val="nil"/>
            </w:tcBorders>
            <w:vAlign w:val="center"/>
          </w:tcPr>
          <w:p w14:paraId="5EBF91A9">
            <w:pPr>
              <w:autoSpaceDE w:val="0"/>
              <w:autoSpaceDN w:val="0"/>
              <w:jc w:val="center"/>
              <w:rPr>
                <w:rFonts w:ascii="Calibri" w:hAnsi="Calibri"/>
                <w:color w:val="auto"/>
                <w:sz w:val="22"/>
                <w:highlight w:val="none"/>
              </w:rPr>
            </w:pPr>
            <w:r>
              <w:rPr>
                <w:rFonts w:ascii="Calibri" w:hAnsi="Calibri"/>
                <w:color w:val="auto"/>
                <w:sz w:val="22"/>
                <w:highlight w:val="none"/>
              </w:rPr>
              <w:t>从事</w:t>
            </w:r>
            <w:r>
              <w:rPr>
                <w:rFonts w:hint="eastAsia" w:ascii="Calibri" w:hAnsi="Calibri"/>
                <w:color w:val="auto"/>
                <w:sz w:val="22"/>
                <w:highlight w:val="none"/>
              </w:rPr>
              <w:t>设计</w:t>
            </w:r>
            <w:r>
              <w:rPr>
                <w:rFonts w:ascii="Calibri" w:hAnsi="Calibri"/>
                <w:color w:val="auto"/>
                <w:sz w:val="22"/>
                <w:highlight w:val="none"/>
              </w:rPr>
              <w:t>工作年限</w:t>
            </w:r>
          </w:p>
        </w:tc>
        <w:tc>
          <w:tcPr>
            <w:tcW w:w="2200" w:type="dxa"/>
            <w:gridSpan w:val="2"/>
            <w:tcBorders>
              <w:tl2br w:val="nil"/>
              <w:tr2bl w:val="nil"/>
            </w:tcBorders>
          </w:tcPr>
          <w:p w14:paraId="07C18B69">
            <w:pPr>
              <w:autoSpaceDE w:val="0"/>
              <w:autoSpaceDN w:val="0"/>
              <w:jc w:val="left"/>
              <w:rPr>
                <w:rFonts w:ascii="Calibri" w:hAnsi="宋体" w:cs="宋体"/>
                <w:color w:val="auto"/>
                <w:kern w:val="0"/>
                <w:sz w:val="20"/>
                <w:highlight w:val="none"/>
                <w:lang w:val="zh-CN" w:bidi="zh-CN"/>
              </w:rPr>
            </w:pPr>
          </w:p>
        </w:tc>
      </w:tr>
      <w:tr w14:paraId="611720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51" w:hRule="atLeast"/>
        </w:trPr>
        <w:tc>
          <w:tcPr>
            <w:tcW w:w="1244" w:type="dxa"/>
            <w:tcBorders>
              <w:tl2br w:val="nil"/>
              <w:tr2bl w:val="nil"/>
            </w:tcBorders>
            <w:vAlign w:val="center"/>
          </w:tcPr>
          <w:p w14:paraId="00A1D474">
            <w:pPr>
              <w:autoSpaceDE w:val="0"/>
              <w:autoSpaceDN w:val="0"/>
              <w:jc w:val="center"/>
              <w:rPr>
                <w:rFonts w:ascii="Calibri" w:hAnsi="Calibri"/>
                <w:color w:val="auto"/>
                <w:sz w:val="22"/>
                <w:highlight w:val="none"/>
              </w:rPr>
            </w:pPr>
            <w:r>
              <w:rPr>
                <w:rFonts w:ascii="Calibri" w:hAnsi="Calibri"/>
                <w:color w:val="auto"/>
                <w:sz w:val="22"/>
                <w:highlight w:val="none"/>
              </w:rPr>
              <w:t>毕业学校</w:t>
            </w:r>
          </w:p>
        </w:tc>
        <w:tc>
          <w:tcPr>
            <w:tcW w:w="7928" w:type="dxa"/>
            <w:gridSpan w:val="8"/>
            <w:tcBorders>
              <w:tl2br w:val="nil"/>
              <w:tr2bl w:val="nil"/>
            </w:tcBorders>
            <w:vAlign w:val="center"/>
          </w:tcPr>
          <w:p w14:paraId="2AA40D2A">
            <w:pPr>
              <w:autoSpaceDE w:val="0"/>
              <w:autoSpaceDN w:val="0"/>
              <w:rPr>
                <w:rFonts w:ascii="Calibri" w:hAnsi="Calibri"/>
                <w:color w:val="auto"/>
                <w:sz w:val="22"/>
                <w:highlight w:val="none"/>
              </w:rPr>
            </w:pPr>
            <w:r>
              <w:rPr>
                <w:rFonts w:ascii="Calibri" w:hAnsi="Calibri"/>
                <w:color w:val="auto"/>
                <w:sz w:val="22"/>
                <w:highlight w:val="none"/>
                <w:u w:val="single"/>
              </w:rPr>
              <w:t xml:space="preserve"> </w:t>
            </w:r>
            <w:r>
              <w:rPr>
                <w:rFonts w:hint="eastAsia" w:ascii="Calibri" w:hAnsi="Calibri"/>
                <w:color w:val="auto"/>
                <w:sz w:val="22"/>
                <w:highlight w:val="none"/>
                <w:u w:val="single"/>
              </w:rPr>
              <w:t xml:space="preserve">      </w:t>
            </w:r>
            <w:r>
              <w:rPr>
                <w:rFonts w:ascii="Calibri" w:hAnsi="Calibri"/>
                <w:color w:val="auto"/>
                <w:sz w:val="22"/>
                <w:highlight w:val="none"/>
              </w:rPr>
              <w:t>年</w:t>
            </w:r>
            <w:r>
              <w:rPr>
                <w:rFonts w:ascii="Calibri" w:hAnsi="Calibri"/>
                <w:color w:val="auto"/>
                <w:sz w:val="22"/>
                <w:highlight w:val="none"/>
                <w:u w:val="single"/>
              </w:rPr>
              <w:t xml:space="preserve"> </w:t>
            </w:r>
            <w:r>
              <w:rPr>
                <w:rFonts w:hint="eastAsia" w:ascii="Calibri" w:hAnsi="Calibri"/>
                <w:color w:val="auto"/>
                <w:sz w:val="22"/>
                <w:highlight w:val="none"/>
                <w:u w:val="single"/>
              </w:rPr>
              <w:t xml:space="preserve">   </w:t>
            </w:r>
            <w:r>
              <w:rPr>
                <w:rFonts w:ascii="Calibri" w:hAnsi="Calibri"/>
                <w:color w:val="auto"/>
                <w:sz w:val="22"/>
                <w:highlight w:val="none"/>
              </w:rPr>
              <w:t>月毕业于</w:t>
            </w:r>
            <w:r>
              <w:rPr>
                <w:rFonts w:ascii="Calibri" w:hAnsi="Calibri"/>
                <w:color w:val="auto"/>
                <w:sz w:val="22"/>
                <w:highlight w:val="none"/>
                <w:u w:val="single"/>
              </w:rPr>
              <w:t xml:space="preserve"> </w:t>
            </w:r>
            <w:r>
              <w:rPr>
                <w:rFonts w:hint="eastAsia" w:ascii="Calibri" w:hAnsi="Calibri"/>
                <w:color w:val="auto"/>
                <w:sz w:val="22"/>
                <w:highlight w:val="none"/>
                <w:u w:val="single"/>
              </w:rPr>
              <w:t xml:space="preserve">             </w:t>
            </w:r>
            <w:r>
              <w:rPr>
                <w:rFonts w:ascii="Calibri" w:hAnsi="Calibri"/>
                <w:color w:val="auto"/>
                <w:sz w:val="22"/>
                <w:highlight w:val="none"/>
              </w:rPr>
              <w:t>学校</w:t>
            </w:r>
            <w:r>
              <w:rPr>
                <w:rFonts w:ascii="Calibri" w:hAnsi="Calibri"/>
                <w:color w:val="auto"/>
                <w:sz w:val="22"/>
                <w:highlight w:val="none"/>
                <w:u w:val="single"/>
              </w:rPr>
              <w:t xml:space="preserve"> </w:t>
            </w:r>
            <w:r>
              <w:rPr>
                <w:rFonts w:hint="eastAsia" w:ascii="Calibri" w:hAnsi="Calibri"/>
                <w:color w:val="auto"/>
                <w:sz w:val="22"/>
                <w:highlight w:val="none"/>
                <w:u w:val="single"/>
              </w:rPr>
              <w:t xml:space="preserve">        </w:t>
            </w:r>
            <w:r>
              <w:rPr>
                <w:rFonts w:ascii="Calibri" w:hAnsi="Calibri"/>
                <w:color w:val="auto"/>
                <w:sz w:val="22"/>
                <w:highlight w:val="none"/>
              </w:rPr>
              <w:t>专业，学制</w:t>
            </w:r>
            <w:r>
              <w:rPr>
                <w:rFonts w:ascii="Calibri" w:hAnsi="Calibri"/>
                <w:color w:val="auto"/>
                <w:sz w:val="22"/>
                <w:highlight w:val="none"/>
                <w:u w:val="single"/>
              </w:rPr>
              <w:t xml:space="preserve"> </w:t>
            </w:r>
            <w:r>
              <w:rPr>
                <w:rFonts w:hint="eastAsia" w:ascii="Calibri" w:hAnsi="Calibri"/>
                <w:color w:val="auto"/>
                <w:sz w:val="22"/>
                <w:highlight w:val="none"/>
                <w:u w:val="single"/>
              </w:rPr>
              <w:t xml:space="preserve">   </w:t>
            </w:r>
            <w:r>
              <w:rPr>
                <w:rFonts w:ascii="Calibri" w:hAnsi="Calibri"/>
                <w:color w:val="auto"/>
                <w:sz w:val="22"/>
                <w:highlight w:val="none"/>
              </w:rPr>
              <w:t>年</w:t>
            </w:r>
          </w:p>
        </w:tc>
      </w:tr>
      <w:tr w14:paraId="0272213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9172" w:type="dxa"/>
            <w:gridSpan w:val="9"/>
            <w:tcBorders>
              <w:tl2br w:val="nil"/>
              <w:tr2bl w:val="nil"/>
            </w:tcBorders>
          </w:tcPr>
          <w:p w14:paraId="62CDE200">
            <w:pPr>
              <w:autoSpaceDE w:val="0"/>
              <w:autoSpaceDN w:val="0"/>
              <w:jc w:val="center"/>
              <w:rPr>
                <w:rFonts w:ascii="Calibri" w:hAnsi="Calibri"/>
                <w:color w:val="auto"/>
                <w:sz w:val="22"/>
                <w:highlight w:val="none"/>
              </w:rPr>
            </w:pPr>
            <w:r>
              <w:rPr>
                <w:rFonts w:ascii="Calibri" w:hAnsi="Calibri"/>
                <w:color w:val="auto"/>
                <w:sz w:val="22"/>
                <w:highlight w:val="none"/>
              </w:rPr>
              <w:t>经</w:t>
            </w:r>
            <w:r>
              <w:rPr>
                <w:rFonts w:ascii="Calibri" w:hAnsi="Calibri"/>
                <w:color w:val="auto"/>
                <w:sz w:val="22"/>
                <w:highlight w:val="none"/>
              </w:rPr>
              <w:tab/>
            </w:r>
            <w:r>
              <w:rPr>
                <w:rFonts w:ascii="Calibri" w:hAnsi="Calibri"/>
                <w:color w:val="auto"/>
                <w:sz w:val="22"/>
                <w:highlight w:val="none"/>
              </w:rPr>
              <w:t>历</w:t>
            </w:r>
          </w:p>
        </w:tc>
      </w:tr>
      <w:tr w14:paraId="5026DB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18" w:hRule="atLeast"/>
        </w:trPr>
        <w:tc>
          <w:tcPr>
            <w:tcW w:w="1244" w:type="dxa"/>
            <w:tcBorders>
              <w:tl2br w:val="nil"/>
              <w:tr2bl w:val="nil"/>
            </w:tcBorders>
            <w:vAlign w:val="center"/>
          </w:tcPr>
          <w:p w14:paraId="1397B9DC">
            <w:pPr>
              <w:autoSpaceDE w:val="0"/>
              <w:autoSpaceDN w:val="0"/>
              <w:jc w:val="center"/>
              <w:rPr>
                <w:rFonts w:ascii="Calibri" w:hAnsi="Calibri"/>
                <w:color w:val="auto"/>
                <w:sz w:val="22"/>
                <w:highlight w:val="none"/>
              </w:rPr>
            </w:pPr>
            <w:r>
              <w:rPr>
                <w:rFonts w:ascii="Calibri" w:hAnsi="Calibri"/>
                <w:color w:val="auto"/>
                <w:sz w:val="22"/>
                <w:highlight w:val="none"/>
              </w:rPr>
              <w:t>时</w:t>
            </w:r>
            <w:r>
              <w:rPr>
                <w:rFonts w:ascii="Calibri" w:hAnsi="Calibri"/>
                <w:color w:val="auto"/>
                <w:sz w:val="22"/>
                <w:highlight w:val="none"/>
              </w:rPr>
              <w:tab/>
            </w:r>
            <w:r>
              <w:rPr>
                <w:rFonts w:ascii="Calibri" w:hAnsi="Calibri"/>
                <w:color w:val="auto"/>
                <w:sz w:val="22"/>
                <w:highlight w:val="none"/>
              </w:rPr>
              <w:t>间</w:t>
            </w:r>
          </w:p>
        </w:tc>
        <w:tc>
          <w:tcPr>
            <w:tcW w:w="4206" w:type="dxa"/>
            <w:gridSpan w:val="5"/>
            <w:tcBorders>
              <w:tl2br w:val="nil"/>
              <w:tr2bl w:val="nil"/>
            </w:tcBorders>
            <w:vAlign w:val="center"/>
          </w:tcPr>
          <w:p w14:paraId="169422DB">
            <w:pPr>
              <w:autoSpaceDE w:val="0"/>
              <w:autoSpaceDN w:val="0"/>
              <w:jc w:val="center"/>
              <w:rPr>
                <w:rFonts w:ascii="Calibri" w:hAnsi="Calibri"/>
                <w:color w:val="auto"/>
                <w:sz w:val="22"/>
                <w:highlight w:val="none"/>
              </w:rPr>
            </w:pPr>
            <w:r>
              <w:rPr>
                <w:rFonts w:ascii="Calibri" w:hAnsi="Calibri"/>
                <w:color w:val="auto"/>
                <w:sz w:val="22"/>
                <w:highlight w:val="none"/>
              </w:rPr>
              <w:t>参加过的类似工程项目名称</w:t>
            </w:r>
          </w:p>
        </w:tc>
        <w:tc>
          <w:tcPr>
            <w:tcW w:w="1905" w:type="dxa"/>
            <w:gridSpan w:val="2"/>
            <w:tcBorders>
              <w:tl2br w:val="nil"/>
              <w:tr2bl w:val="nil"/>
            </w:tcBorders>
            <w:vAlign w:val="center"/>
          </w:tcPr>
          <w:p w14:paraId="3A7E9310">
            <w:pPr>
              <w:autoSpaceDE w:val="0"/>
              <w:autoSpaceDN w:val="0"/>
              <w:jc w:val="center"/>
              <w:rPr>
                <w:rFonts w:ascii="Calibri" w:hAnsi="Calibri"/>
                <w:color w:val="auto"/>
                <w:sz w:val="22"/>
                <w:highlight w:val="none"/>
              </w:rPr>
            </w:pPr>
            <w:r>
              <w:rPr>
                <w:rFonts w:ascii="Calibri" w:hAnsi="Calibri"/>
                <w:color w:val="auto"/>
                <w:sz w:val="22"/>
                <w:highlight w:val="none"/>
              </w:rPr>
              <w:t>担任职务</w:t>
            </w:r>
          </w:p>
        </w:tc>
        <w:tc>
          <w:tcPr>
            <w:tcW w:w="1817" w:type="dxa"/>
            <w:tcBorders>
              <w:tl2br w:val="nil"/>
              <w:tr2bl w:val="nil"/>
            </w:tcBorders>
            <w:vAlign w:val="center"/>
          </w:tcPr>
          <w:p w14:paraId="53A5B349">
            <w:pPr>
              <w:autoSpaceDE w:val="0"/>
              <w:autoSpaceDN w:val="0"/>
              <w:jc w:val="center"/>
              <w:rPr>
                <w:rFonts w:ascii="Calibri" w:hAnsi="Calibri"/>
                <w:color w:val="auto"/>
                <w:sz w:val="22"/>
                <w:highlight w:val="none"/>
              </w:rPr>
            </w:pPr>
            <w:r>
              <w:rPr>
                <w:rFonts w:ascii="Calibri" w:hAnsi="Calibri"/>
                <w:color w:val="auto"/>
                <w:sz w:val="22"/>
                <w:highlight w:val="none"/>
              </w:rPr>
              <w:t>发包人及联系电话</w:t>
            </w:r>
          </w:p>
        </w:tc>
      </w:tr>
      <w:tr w14:paraId="2114BEB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6F8B26B0">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13BDF71A">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3894D32E">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6A511159">
            <w:pPr>
              <w:autoSpaceDE w:val="0"/>
              <w:autoSpaceDN w:val="0"/>
              <w:jc w:val="left"/>
              <w:rPr>
                <w:rFonts w:ascii="Calibri" w:hAnsi="宋体" w:cs="宋体"/>
                <w:color w:val="auto"/>
                <w:kern w:val="0"/>
                <w:sz w:val="20"/>
                <w:highlight w:val="none"/>
                <w:lang w:val="zh-CN" w:bidi="zh-CN"/>
              </w:rPr>
            </w:pPr>
          </w:p>
        </w:tc>
      </w:tr>
      <w:tr w14:paraId="3B3A4D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16F9C69B">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2FD76DF6">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3C9C6EEC">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7A3D6862">
            <w:pPr>
              <w:autoSpaceDE w:val="0"/>
              <w:autoSpaceDN w:val="0"/>
              <w:jc w:val="left"/>
              <w:rPr>
                <w:rFonts w:ascii="Calibri" w:hAnsi="宋体" w:cs="宋体"/>
                <w:color w:val="auto"/>
                <w:kern w:val="0"/>
                <w:sz w:val="20"/>
                <w:highlight w:val="none"/>
                <w:lang w:val="zh-CN" w:bidi="zh-CN"/>
              </w:rPr>
            </w:pPr>
          </w:p>
        </w:tc>
      </w:tr>
      <w:tr w14:paraId="1414E02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6F2839E8">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62CB3952">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54574430">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2D8AF42A">
            <w:pPr>
              <w:autoSpaceDE w:val="0"/>
              <w:autoSpaceDN w:val="0"/>
              <w:jc w:val="left"/>
              <w:rPr>
                <w:rFonts w:ascii="Calibri" w:hAnsi="宋体" w:cs="宋体"/>
                <w:color w:val="auto"/>
                <w:kern w:val="0"/>
                <w:sz w:val="20"/>
                <w:highlight w:val="none"/>
                <w:lang w:val="zh-CN" w:bidi="zh-CN"/>
              </w:rPr>
            </w:pPr>
          </w:p>
        </w:tc>
      </w:tr>
      <w:tr w14:paraId="00C6D4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5CB92C93">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3223BD83">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29A582B0">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68A4A53F">
            <w:pPr>
              <w:autoSpaceDE w:val="0"/>
              <w:autoSpaceDN w:val="0"/>
              <w:jc w:val="left"/>
              <w:rPr>
                <w:rFonts w:ascii="Calibri" w:hAnsi="宋体" w:cs="宋体"/>
                <w:color w:val="auto"/>
                <w:kern w:val="0"/>
                <w:sz w:val="20"/>
                <w:highlight w:val="none"/>
                <w:lang w:val="zh-CN" w:bidi="zh-CN"/>
              </w:rPr>
            </w:pPr>
          </w:p>
        </w:tc>
      </w:tr>
      <w:tr w14:paraId="269ADA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7" w:hRule="atLeast"/>
        </w:trPr>
        <w:tc>
          <w:tcPr>
            <w:tcW w:w="1244" w:type="dxa"/>
            <w:tcBorders>
              <w:tl2br w:val="nil"/>
              <w:tr2bl w:val="nil"/>
            </w:tcBorders>
          </w:tcPr>
          <w:p w14:paraId="0ACA53FC">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185C58CE">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027A8D80">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5395B3A9">
            <w:pPr>
              <w:autoSpaceDE w:val="0"/>
              <w:autoSpaceDN w:val="0"/>
              <w:jc w:val="left"/>
              <w:rPr>
                <w:rFonts w:ascii="Calibri" w:hAnsi="宋体" w:cs="宋体"/>
                <w:color w:val="auto"/>
                <w:kern w:val="0"/>
                <w:sz w:val="20"/>
                <w:highlight w:val="none"/>
                <w:lang w:val="zh-CN" w:bidi="zh-CN"/>
              </w:rPr>
            </w:pPr>
          </w:p>
        </w:tc>
      </w:tr>
      <w:tr w14:paraId="552350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48FB0E65">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3921EE90">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55707717">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7C2CD190">
            <w:pPr>
              <w:autoSpaceDE w:val="0"/>
              <w:autoSpaceDN w:val="0"/>
              <w:jc w:val="left"/>
              <w:rPr>
                <w:rFonts w:ascii="Calibri" w:hAnsi="宋体" w:cs="宋体"/>
                <w:color w:val="auto"/>
                <w:kern w:val="0"/>
                <w:sz w:val="20"/>
                <w:highlight w:val="none"/>
                <w:lang w:val="zh-CN" w:bidi="zh-CN"/>
              </w:rPr>
            </w:pPr>
          </w:p>
        </w:tc>
      </w:tr>
      <w:tr w14:paraId="42FB65F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1244" w:type="dxa"/>
            <w:tcBorders>
              <w:tl2br w:val="nil"/>
              <w:tr2bl w:val="nil"/>
            </w:tcBorders>
          </w:tcPr>
          <w:p w14:paraId="1406200A">
            <w:pPr>
              <w:autoSpaceDE w:val="0"/>
              <w:autoSpaceDN w:val="0"/>
              <w:jc w:val="left"/>
              <w:rPr>
                <w:rFonts w:ascii="Calibri" w:hAnsi="宋体" w:cs="宋体"/>
                <w:color w:val="auto"/>
                <w:kern w:val="0"/>
                <w:sz w:val="20"/>
                <w:highlight w:val="none"/>
                <w:lang w:val="zh-CN" w:bidi="zh-CN"/>
              </w:rPr>
            </w:pPr>
          </w:p>
        </w:tc>
        <w:tc>
          <w:tcPr>
            <w:tcW w:w="4206" w:type="dxa"/>
            <w:gridSpan w:val="5"/>
            <w:tcBorders>
              <w:tl2br w:val="nil"/>
              <w:tr2bl w:val="nil"/>
            </w:tcBorders>
          </w:tcPr>
          <w:p w14:paraId="269AD0C6">
            <w:pPr>
              <w:autoSpaceDE w:val="0"/>
              <w:autoSpaceDN w:val="0"/>
              <w:jc w:val="left"/>
              <w:rPr>
                <w:rFonts w:ascii="Calibri" w:hAnsi="宋体" w:cs="宋体"/>
                <w:color w:val="auto"/>
                <w:kern w:val="0"/>
                <w:sz w:val="20"/>
                <w:highlight w:val="none"/>
                <w:lang w:val="zh-CN" w:bidi="zh-CN"/>
              </w:rPr>
            </w:pPr>
          </w:p>
        </w:tc>
        <w:tc>
          <w:tcPr>
            <w:tcW w:w="1905" w:type="dxa"/>
            <w:gridSpan w:val="2"/>
            <w:tcBorders>
              <w:tl2br w:val="nil"/>
              <w:tr2bl w:val="nil"/>
            </w:tcBorders>
          </w:tcPr>
          <w:p w14:paraId="65AAB79F">
            <w:pPr>
              <w:autoSpaceDE w:val="0"/>
              <w:autoSpaceDN w:val="0"/>
              <w:jc w:val="left"/>
              <w:rPr>
                <w:rFonts w:ascii="Calibri" w:hAnsi="宋体" w:cs="宋体"/>
                <w:color w:val="auto"/>
                <w:kern w:val="0"/>
                <w:sz w:val="20"/>
                <w:highlight w:val="none"/>
                <w:lang w:val="zh-CN" w:bidi="zh-CN"/>
              </w:rPr>
            </w:pPr>
          </w:p>
        </w:tc>
        <w:tc>
          <w:tcPr>
            <w:tcW w:w="1817" w:type="dxa"/>
            <w:tcBorders>
              <w:tl2br w:val="nil"/>
              <w:tr2bl w:val="nil"/>
            </w:tcBorders>
          </w:tcPr>
          <w:p w14:paraId="7E296379">
            <w:pPr>
              <w:autoSpaceDE w:val="0"/>
              <w:autoSpaceDN w:val="0"/>
              <w:jc w:val="left"/>
              <w:rPr>
                <w:rFonts w:ascii="Calibri" w:hAnsi="宋体" w:cs="宋体"/>
                <w:color w:val="auto"/>
                <w:kern w:val="0"/>
                <w:sz w:val="20"/>
                <w:highlight w:val="none"/>
                <w:lang w:val="zh-CN" w:bidi="zh-CN"/>
              </w:rPr>
            </w:pPr>
          </w:p>
        </w:tc>
      </w:tr>
      <w:tr w14:paraId="3C01188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2604" w:type="dxa"/>
            <w:gridSpan w:val="2"/>
            <w:tcBorders>
              <w:tl2br w:val="nil"/>
              <w:tr2bl w:val="nil"/>
            </w:tcBorders>
            <w:vAlign w:val="center"/>
          </w:tcPr>
          <w:p w14:paraId="42CB5FA8">
            <w:pPr>
              <w:autoSpaceDE w:val="0"/>
              <w:autoSpaceDN w:val="0"/>
              <w:ind w:right="852"/>
              <w:jc w:val="center"/>
              <w:rPr>
                <w:rFonts w:ascii="宋体" w:hAnsi="宋体" w:cs="宋体"/>
                <w:color w:val="auto"/>
                <w:kern w:val="0"/>
                <w:sz w:val="22"/>
                <w:highlight w:val="none"/>
                <w:lang w:val="zh-CN" w:bidi="zh-CN"/>
              </w:rPr>
            </w:pPr>
            <w:r>
              <w:rPr>
                <w:rFonts w:hint="eastAsia" w:ascii="宋体" w:hAnsi="宋体" w:cs="宋体"/>
                <w:color w:val="auto"/>
                <w:kern w:val="0"/>
                <w:sz w:val="22"/>
                <w:highlight w:val="none"/>
                <w:lang w:bidi="zh-CN"/>
              </w:rPr>
              <w:t xml:space="preserve">       </w:t>
            </w:r>
            <w:r>
              <w:rPr>
                <w:rFonts w:ascii="宋体" w:hAnsi="宋体" w:cs="宋体"/>
                <w:color w:val="auto"/>
                <w:kern w:val="0"/>
                <w:sz w:val="22"/>
                <w:highlight w:val="none"/>
                <w:lang w:val="zh-CN" w:bidi="zh-CN"/>
              </w:rPr>
              <w:t>获奖情况</w:t>
            </w:r>
          </w:p>
        </w:tc>
        <w:tc>
          <w:tcPr>
            <w:tcW w:w="6568" w:type="dxa"/>
            <w:gridSpan w:val="7"/>
            <w:tcBorders>
              <w:tl2br w:val="nil"/>
              <w:tr2bl w:val="nil"/>
            </w:tcBorders>
          </w:tcPr>
          <w:p w14:paraId="24A07D7D">
            <w:pPr>
              <w:autoSpaceDE w:val="0"/>
              <w:autoSpaceDN w:val="0"/>
              <w:jc w:val="left"/>
              <w:rPr>
                <w:rFonts w:ascii="Calibri" w:hAnsi="宋体" w:cs="宋体"/>
                <w:color w:val="auto"/>
                <w:kern w:val="0"/>
                <w:sz w:val="20"/>
                <w:highlight w:val="none"/>
                <w:lang w:val="zh-CN" w:bidi="zh-CN"/>
              </w:rPr>
            </w:pPr>
          </w:p>
        </w:tc>
      </w:tr>
      <w:tr w14:paraId="4027012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35" w:hRule="atLeast"/>
        </w:trPr>
        <w:tc>
          <w:tcPr>
            <w:tcW w:w="2604" w:type="dxa"/>
            <w:gridSpan w:val="2"/>
            <w:tcBorders>
              <w:tl2br w:val="nil"/>
              <w:tr2bl w:val="nil"/>
            </w:tcBorders>
            <w:vAlign w:val="center"/>
          </w:tcPr>
          <w:p w14:paraId="17FC30BE">
            <w:pPr>
              <w:autoSpaceDE w:val="0"/>
              <w:autoSpaceDN w:val="0"/>
              <w:ind w:left="563"/>
              <w:rPr>
                <w:rFonts w:ascii="宋体" w:hAnsi="宋体" w:cs="宋体"/>
                <w:color w:val="auto"/>
                <w:kern w:val="0"/>
                <w:sz w:val="22"/>
                <w:highlight w:val="none"/>
                <w:lang w:val="zh-CN" w:bidi="zh-CN"/>
              </w:rPr>
            </w:pPr>
            <w:r>
              <w:rPr>
                <w:rFonts w:ascii="宋体" w:hAnsi="宋体" w:cs="宋体"/>
                <w:color w:val="auto"/>
                <w:kern w:val="0"/>
                <w:sz w:val="22"/>
                <w:highlight w:val="none"/>
                <w:lang w:val="zh-CN" w:bidi="zh-CN"/>
              </w:rPr>
              <w:t>目前承担的任务</w:t>
            </w:r>
          </w:p>
        </w:tc>
        <w:tc>
          <w:tcPr>
            <w:tcW w:w="6568" w:type="dxa"/>
            <w:gridSpan w:val="7"/>
            <w:tcBorders>
              <w:tl2br w:val="nil"/>
              <w:tr2bl w:val="nil"/>
            </w:tcBorders>
          </w:tcPr>
          <w:p w14:paraId="5B3E8F38">
            <w:pPr>
              <w:autoSpaceDE w:val="0"/>
              <w:autoSpaceDN w:val="0"/>
              <w:jc w:val="left"/>
              <w:rPr>
                <w:rFonts w:ascii="Calibri" w:hAnsi="宋体" w:cs="宋体"/>
                <w:color w:val="auto"/>
                <w:kern w:val="0"/>
                <w:sz w:val="20"/>
                <w:highlight w:val="none"/>
                <w:lang w:val="zh-CN" w:bidi="zh-CN"/>
              </w:rPr>
            </w:pPr>
          </w:p>
        </w:tc>
      </w:tr>
      <w:tr w14:paraId="30678D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132" w:hRule="atLeast"/>
        </w:trPr>
        <w:tc>
          <w:tcPr>
            <w:tcW w:w="2604" w:type="dxa"/>
            <w:gridSpan w:val="2"/>
            <w:tcBorders>
              <w:tl2br w:val="nil"/>
              <w:tr2bl w:val="nil"/>
            </w:tcBorders>
            <w:vAlign w:val="center"/>
          </w:tcPr>
          <w:p w14:paraId="1651B87D">
            <w:pPr>
              <w:tabs>
                <w:tab w:val="left" w:pos="1564"/>
              </w:tabs>
              <w:autoSpaceDE w:val="0"/>
              <w:autoSpaceDN w:val="0"/>
              <w:ind w:left="827"/>
              <w:rPr>
                <w:rFonts w:ascii="宋体" w:hAnsi="宋体" w:cs="宋体"/>
                <w:color w:val="auto"/>
                <w:kern w:val="0"/>
                <w:sz w:val="22"/>
                <w:highlight w:val="none"/>
                <w:lang w:val="zh-CN" w:bidi="zh-CN"/>
              </w:rPr>
            </w:pPr>
            <w:r>
              <w:rPr>
                <w:rFonts w:ascii="宋体" w:hAnsi="宋体" w:cs="宋体"/>
                <w:color w:val="auto"/>
                <w:kern w:val="0"/>
                <w:sz w:val="22"/>
                <w:highlight w:val="none"/>
                <w:lang w:val="zh-CN" w:bidi="zh-CN"/>
              </w:rPr>
              <w:t>备</w:t>
            </w:r>
            <w:r>
              <w:rPr>
                <w:rFonts w:ascii="宋体" w:hAnsi="宋体" w:cs="宋体"/>
                <w:color w:val="auto"/>
                <w:kern w:val="0"/>
                <w:sz w:val="22"/>
                <w:highlight w:val="none"/>
                <w:lang w:val="zh-CN" w:bidi="zh-CN"/>
              </w:rPr>
              <w:tab/>
            </w:r>
            <w:r>
              <w:rPr>
                <w:rFonts w:ascii="宋体" w:hAnsi="宋体" w:cs="宋体"/>
                <w:color w:val="auto"/>
                <w:kern w:val="0"/>
                <w:sz w:val="22"/>
                <w:highlight w:val="none"/>
                <w:lang w:val="zh-CN" w:bidi="zh-CN"/>
              </w:rPr>
              <w:t>注</w:t>
            </w:r>
          </w:p>
        </w:tc>
        <w:tc>
          <w:tcPr>
            <w:tcW w:w="6568" w:type="dxa"/>
            <w:gridSpan w:val="7"/>
            <w:tcBorders>
              <w:tl2br w:val="nil"/>
              <w:tr2bl w:val="nil"/>
            </w:tcBorders>
          </w:tcPr>
          <w:p w14:paraId="50294BB1">
            <w:pPr>
              <w:autoSpaceDE w:val="0"/>
              <w:autoSpaceDN w:val="0"/>
              <w:jc w:val="left"/>
              <w:rPr>
                <w:rFonts w:ascii="Calibri" w:hAnsi="宋体" w:cs="宋体"/>
                <w:color w:val="auto"/>
                <w:kern w:val="0"/>
                <w:sz w:val="20"/>
                <w:highlight w:val="none"/>
                <w:lang w:val="zh-CN" w:bidi="zh-CN"/>
              </w:rPr>
            </w:pPr>
          </w:p>
        </w:tc>
      </w:tr>
    </w:tbl>
    <w:p w14:paraId="5304E3F5">
      <w:pPr>
        <w:spacing w:before="128" w:line="300" w:lineRule="exact"/>
        <w:ind w:right="-340"/>
        <w:rPr>
          <w:color w:val="auto"/>
          <w:highlight w:val="none"/>
        </w:rPr>
      </w:pPr>
      <w:r>
        <w:rPr>
          <w:bCs/>
          <w:color w:val="auto"/>
          <w:szCs w:val="21"/>
          <w:highlight w:val="none"/>
        </w:rPr>
        <w:t>注：</w:t>
      </w:r>
      <w:r>
        <w:rPr>
          <w:color w:val="auto"/>
          <w:szCs w:val="21"/>
          <w:highlight w:val="none"/>
        </w:rPr>
        <w:t>1</w:t>
      </w:r>
      <w:r>
        <w:rPr>
          <w:rFonts w:hint="eastAsia" w:ascii="宋体" w:hAnsi="宋体"/>
          <w:color w:val="auto"/>
          <w:highlight w:val="none"/>
        </w:rPr>
        <w:t>.</w:t>
      </w:r>
      <w:r>
        <w:rPr>
          <w:color w:val="auto"/>
          <w:highlight w:val="none"/>
        </w:rPr>
        <w:t>本表应填写项目负责人相关情况。</w:t>
      </w:r>
    </w:p>
    <w:p w14:paraId="791B9D33">
      <w:pPr>
        <w:spacing w:before="128" w:line="300" w:lineRule="exact"/>
        <w:ind w:right="-340" w:firstLine="420" w:firstLineChars="200"/>
        <w:rPr>
          <w:color w:val="auto"/>
          <w:highlight w:val="none"/>
        </w:rPr>
      </w:pPr>
      <w:r>
        <w:rPr>
          <w:color w:val="auto"/>
          <w:highlight w:val="none"/>
        </w:rPr>
        <w:t>2</w:t>
      </w:r>
      <w:r>
        <w:rPr>
          <w:rFonts w:hint="eastAsia" w:ascii="宋体" w:hAnsi="宋体"/>
          <w:color w:val="auto"/>
          <w:highlight w:val="none"/>
        </w:rPr>
        <w:t>.</w:t>
      </w:r>
      <w:r>
        <w:rPr>
          <w:rFonts w:hint="eastAsia"/>
          <w:color w:val="auto"/>
          <w:highlight w:val="none"/>
        </w:rPr>
        <w:t>竞包</w:t>
      </w:r>
      <w:r>
        <w:rPr>
          <w:color w:val="auto"/>
          <w:highlight w:val="none"/>
        </w:rPr>
        <w:t>人应根据</w:t>
      </w:r>
      <w:r>
        <w:rPr>
          <w:rFonts w:hint="eastAsia"/>
          <w:color w:val="auto"/>
          <w:highlight w:val="none"/>
        </w:rPr>
        <w:t>发包</w:t>
      </w:r>
      <w:r>
        <w:rPr>
          <w:color w:val="auto"/>
          <w:highlight w:val="none"/>
        </w:rPr>
        <w:t>文件第二章</w:t>
      </w:r>
      <w:r>
        <w:rPr>
          <w:rFonts w:hint="eastAsia"/>
          <w:color w:val="auto"/>
          <w:highlight w:val="none"/>
        </w:rPr>
        <w:t>“竞包</w:t>
      </w:r>
      <w:r>
        <w:rPr>
          <w:color w:val="auto"/>
          <w:highlight w:val="none"/>
        </w:rPr>
        <w:t>人须知</w:t>
      </w:r>
      <w:r>
        <w:rPr>
          <w:rFonts w:hint="eastAsia"/>
          <w:color w:val="auto"/>
          <w:highlight w:val="none"/>
        </w:rPr>
        <w:t>”</w:t>
      </w:r>
      <w:r>
        <w:rPr>
          <w:color w:val="auto"/>
          <w:highlight w:val="none"/>
        </w:rPr>
        <w:t>第3.5.4项的要求在本表后附相关证明材料。</w:t>
      </w:r>
    </w:p>
    <w:p w14:paraId="210FD041">
      <w:pPr>
        <w:pStyle w:val="14"/>
        <w:tabs>
          <w:tab w:val="left" w:pos="8222"/>
        </w:tabs>
        <w:ind w:right="-199" w:firstLine="422" w:firstLineChars="200"/>
        <w:rPr>
          <w:color w:val="auto"/>
          <w:sz w:val="30"/>
          <w:szCs w:val="30"/>
          <w:highlight w:val="none"/>
        </w:rPr>
      </w:pPr>
      <w:r>
        <w:rPr>
          <w:b/>
          <w:bCs/>
          <w:color w:val="auto"/>
          <w:highlight w:val="none"/>
        </w:rPr>
        <w:br w:type="page"/>
      </w:r>
      <w:bookmarkStart w:id="1016" w:name="_Toc24175"/>
      <w:bookmarkStart w:id="1017" w:name="_Toc8376"/>
      <w:r>
        <w:rPr>
          <w:rFonts w:hint="eastAsia"/>
          <w:color w:val="auto"/>
          <w:sz w:val="30"/>
          <w:szCs w:val="30"/>
          <w:highlight w:val="none"/>
        </w:rPr>
        <w:t>（</w:t>
      </w:r>
      <w:bookmarkStart w:id="1018" w:name="_Toc337736650"/>
      <w:bookmarkStart w:id="1019" w:name="_Toc333848128"/>
      <w:r>
        <w:rPr>
          <w:rFonts w:hint="eastAsia"/>
          <w:color w:val="auto"/>
          <w:sz w:val="30"/>
          <w:szCs w:val="30"/>
          <w:highlight w:val="none"/>
        </w:rPr>
        <w:t>六）诚信系统信息表</w:t>
      </w:r>
      <w:bookmarkEnd w:id="1016"/>
      <w:bookmarkEnd w:id="1017"/>
      <w:bookmarkEnd w:id="1018"/>
      <w:bookmarkEnd w:id="1019"/>
    </w:p>
    <w:p w14:paraId="1E1601CE">
      <w:pPr>
        <w:pStyle w:val="14"/>
        <w:tabs>
          <w:tab w:val="left" w:pos="8280"/>
        </w:tabs>
        <w:ind w:right="26"/>
        <w:rPr>
          <w:rFonts w:eastAsia="楷体_GB2312"/>
          <w:color w:val="auto"/>
          <w:sz w:val="30"/>
          <w:szCs w:val="30"/>
          <w:highlight w:val="none"/>
        </w:rPr>
      </w:pPr>
    </w:p>
    <w:tbl>
      <w:tblPr>
        <w:tblStyle w:val="34"/>
        <w:tblW w:w="9172" w:type="dxa"/>
        <w:tblInd w:w="108" w:type="dxa"/>
        <w:tblLayout w:type="fixed"/>
        <w:tblCellMar>
          <w:top w:w="0" w:type="dxa"/>
          <w:left w:w="108" w:type="dxa"/>
          <w:bottom w:w="0" w:type="dxa"/>
          <w:right w:w="108" w:type="dxa"/>
        </w:tblCellMar>
      </w:tblPr>
      <w:tblGrid>
        <w:gridCol w:w="1767"/>
        <w:gridCol w:w="707"/>
        <w:gridCol w:w="1539"/>
        <w:gridCol w:w="2450"/>
        <w:gridCol w:w="200"/>
        <w:gridCol w:w="2509"/>
      </w:tblGrid>
      <w:tr w14:paraId="7F0FB609">
        <w:tblPrEx>
          <w:tblCellMar>
            <w:top w:w="0" w:type="dxa"/>
            <w:left w:w="108" w:type="dxa"/>
            <w:bottom w:w="0" w:type="dxa"/>
            <w:right w:w="108" w:type="dxa"/>
          </w:tblCellMar>
        </w:tblPrEx>
        <w:trPr>
          <w:trHeight w:val="671" w:hRule="atLeast"/>
        </w:trPr>
        <w:tc>
          <w:tcPr>
            <w:tcW w:w="1767" w:type="dxa"/>
            <w:tcBorders>
              <w:top w:val="single" w:color="000000" w:sz="12" w:space="0"/>
              <w:left w:val="single" w:color="000000" w:sz="12" w:space="0"/>
              <w:bottom w:val="single" w:color="000000" w:sz="6" w:space="0"/>
              <w:right w:val="single" w:color="000000" w:sz="6" w:space="0"/>
            </w:tcBorders>
            <w:vAlign w:val="center"/>
          </w:tcPr>
          <w:p w14:paraId="59E3477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竞包人全称</w:t>
            </w:r>
          </w:p>
        </w:tc>
        <w:tc>
          <w:tcPr>
            <w:tcW w:w="7405" w:type="dxa"/>
            <w:gridSpan w:val="5"/>
            <w:tcBorders>
              <w:top w:val="single" w:color="000000" w:sz="12" w:space="0"/>
              <w:left w:val="single" w:color="000000" w:sz="6" w:space="0"/>
              <w:bottom w:val="single" w:color="000000" w:sz="6" w:space="0"/>
              <w:right w:val="single" w:color="000000" w:sz="12" w:space="0"/>
            </w:tcBorders>
            <w:vAlign w:val="center"/>
          </w:tcPr>
          <w:p w14:paraId="71F736B6">
            <w:pPr>
              <w:pStyle w:val="14"/>
              <w:spacing w:line="300" w:lineRule="exact"/>
              <w:rPr>
                <w:rFonts w:ascii="宋体" w:hAnsi="宋体"/>
                <w:color w:val="auto"/>
                <w:szCs w:val="21"/>
                <w:highlight w:val="none"/>
              </w:rPr>
            </w:pPr>
          </w:p>
        </w:tc>
      </w:tr>
      <w:tr w14:paraId="06442616">
        <w:tblPrEx>
          <w:tblCellMar>
            <w:top w:w="0" w:type="dxa"/>
            <w:left w:w="108" w:type="dxa"/>
            <w:bottom w:w="0" w:type="dxa"/>
            <w:right w:w="108" w:type="dxa"/>
          </w:tblCellMar>
        </w:tblPrEx>
        <w:trPr>
          <w:trHeight w:val="671" w:hRule="atLeast"/>
        </w:trPr>
        <w:tc>
          <w:tcPr>
            <w:tcW w:w="1767" w:type="dxa"/>
            <w:tcBorders>
              <w:top w:val="single" w:color="000000" w:sz="6" w:space="0"/>
              <w:left w:val="single" w:color="000000" w:sz="12" w:space="0"/>
              <w:bottom w:val="single" w:color="000000" w:sz="6" w:space="0"/>
              <w:right w:val="single" w:color="000000" w:sz="6" w:space="0"/>
            </w:tcBorders>
            <w:vAlign w:val="center"/>
          </w:tcPr>
          <w:p w14:paraId="6BEEC1C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竞包人资质</w:t>
            </w:r>
          </w:p>
        </w:tc>
        <w:tc>
          <w:tcPr>
            <w:tcW w:w="7405" w:type="dxa"/>
            <w:gridSpan w:val="5"/>
            <w:tcBorders>
              <w:top w:val="single" w:color="000000" w:sz="6" w:space="0"/>
              <w:left w:val="single" w:color="000000" w:sz="6" w:space="0"/>
              <w:bottom w:val="single" w:color="000000" w:sz="6" w:space="0"/>
              <w:right w:val="single" w:color="000000" w:sz="12" w:space="0"/>
            </w:tcBorders>
            <w:vAlign w:val="center"/>
          </w:tcPr>
          <w:p w14:paraId="41F07118">
            <w:pPr>
              <w:pStyle w:val="14"/>
              <w:spacing w:line="300" w:lineRule="exact"/>
              <w:ind w:left="0" w:firstLine="0"/>
              <w:rPr>
                <w:rFonts w:ascii="宋体" w:hAnsi="宋体"/>
                <w:color w:val="auto"/>
                <w:szCs w:val="21"/>
                <w:highlight w:val="none"/>
              </w:rPr>
            </w:pPr>
          </w:p>
        </w:tc>
      </w:tr>
      <w:tr w14:paraId="7E05946D">
        <w:tblPrEx>
          <w:tblCellMar>
            <w:top w:w="0" w:type="dxa"/>
            <w:left w:w="108" w:type="dxa"/>
            <w:bottom w:w="0" w:type="dxa"/>
            <w:right w:w="108" w:type="dxa"/>
          </w:tblCellMar>
        </w:tblPrEx>
        <w:trPr>
          <w:trHeight w:val="671"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33A9D5B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是否在“浙江省交通运输信用管理与服务系统”中承诺向社会公开信息</w:t>
            </w:r>
          </w:p>
        </w:tc>
        <w:tc>
          <w:tcPr>
            <w:tcW w:w="2509" w:type="dxa"/>
            <w:tcBorders>
              <w:top w:val="single" w:color="000000" w:sz="6" w:space="0"/>
              <w:left w:val="single" w:color="000000" w:sz="6" w:space="0"/>
              <w:bottom w:val="single" w:color="000000" w:sz="6" w:space="0"/>
              <w:right w:val="single" w:color="000000" w:sz="12" w:space="0"/>
            </w:tcBorders>
            <w:vAlign w:val="center"/>
          </w:tcPr>
          <w:p w14:paraId="51BA6C5B">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（填是或否）</w:t>
            </w:r>
          </w:p>
        </w:tc>
      </w:tr>
      <w:tr w14:paraId="5DD1DC12">
        <w:tblPrEx>
          <w:tblCellMar>
            <w:top w:w="0" w:type="dxa"/>
            <w:left w:w="108" w:type="dxa"/>
            <w:bottom w:w="0" w:type="dxa"/>
            <w:right w:w="108" w:type="dxa"/>
          </w:tblCellMar>
        </w:tblPrEx>
        <w:trPr>
          <w:trHeight w:val="807"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1DA84869">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企业信用等级（以浙江省交通运输厅最新公布的有效的信用评价结果为准）</w:t>
            </w:r>
          </w:p>
        </w:tc>
        <w:tc>
          <w:tcPr>
            <w:tcW w:w="2509" w:type="dxa"/>
            <w:tcBorders>
              <w:top w:val="single" w:color="000000" w:sz="6" w:space="0"/>
              <w:left w:val="single" w:color="000000" w:sz="6" w:space="0"/>
              <w:bottom w:val="single" w:color="000000" w:sz="6" w:space="0"/>
              <w:right w:val="single" w:color="000000" w:sz="12" w:space="0"/>
            </w:tcBorders>
            <w:vAlign w:val="center"/>
          </w:tcPr>
          <w:p w14:paraId="4F1B0ACE">
            <w:pPr>
              <w:pStyle w:val="14"/>
              <w:spacing w:line="300" w:lineRule="exact"/>
              <w:ind w:left="0" w:firstLine="0"/>
              <w:rPr>
                <w:rFonts w:ascii="宋体" w:hAnsi="宋体"/>
                <w:color w:val="auto"/>
                <w:szCs w:val="21"/>
                <w:highlight w:val="none"/>
              </w:rPr>
            </w:pPr>
          </w:p>
        </w:tc>
      </w:tr>
      <w:tr w14:paraId="4C9EBDB8">
        <w:tblPrEx>
          <w:tblCellMar>
            <w:top w:w="0" w:type="dxa"/>
            <w:left w:w="108" w:type="dxa"/>
            <w:bottom w:w="0" w:type="dxa"/>
            <w:right w:w="108" w:type="dxa"/>
          </w:tblCellMar>
        </w:tblPrEx>
        <w:trPr>
          <w:trHeight w:val="807" w:hRule="atLeast"/>
        </w:trPr>
        <w:tc>
          <w:tcPr>
            <w:tcW w:w="6663" w:type="dxa"/>
            <w:gridSpan w:val="5"/>
            <w:tcBorders>
              <w:top w:val="single" w:color="000000" w:sz="6" w:space="0"/>
              <w:left w:val="single" w:color="000000" w:sz="12" w:space="0"/>
              <w:bottom w:val="single" w:color="000000" w:sz="6" w:space="0"/>
              <w:right w:val="single" w:color="000000" w:sz="6" w:space="0"/>
            </w:tcBorders>
            <w:vAlign w:val="center"/>
          </w:tcPr>
          <w:p w14:paraId="0940B920">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项目负责人信用等级（以浙江省交通运输厅最新公布的有效的信用评价结果为准）</w:t>
            </w:r>
          </w:p>
        </w:tc>
        <w:tc>
          <w:tcPr>
            <w:tcW w:w="2509" w:type="dxa"/>
            <w:tcBorders>
              <w:top w:val="single" w:color="000000" w:sz="6" w:space="0"/>
              <w:left w:val="single" w:color="000000" w:sz="6" w:space="0"/>
              <w:bottom w:val="single" w:color="000000" w:sz="6" w:space="0"/>
              <w:right w:val="single" w:color="000000" w:sz="12" w:space="0"/>
            </w:tcBorders>
            <w:vAlign w:val="center"/>
          </w:tcPr>
          <w:p w14:paraId="3C420D9C">
            <w:pPr>
              <w:pStyle w:val="14"/>
              <w:spacing w:line="300" w:lineRule="exact"/>
              <w:ind w:left="0" w:firstLine="0"/>
              <w:rPr>
                <w:rFonts w:ascii="宋体" w:hAnsi="宋体"/>
                <w:color w:val="auto"/>
                <w:szCs w:val="21"/>
                <w:highlight w:val="none"/>
              </w:rPr>
            </w:pPr>
          </w:p>
        </w:tc>
      </w:tr>
      <w:tr w14:paraId="57D3BC1F">
        <w:tblPrEx>
          <w:tblCellMar>
            <w:top w:w="0" w:type="dxa"/>
            <w:left w:w="108" w:type="dxa"/>
            <w:bottom w:w="0" w:type="dxa"/>
            <w:right w:w="108" w:type="dxa"/>
          </w:tblCellMar>
        </w:tblPrEx>
        <w:trPr>
          <w:trHeight w:val="807" w:hRule="atLeast"/>
        </w:trPr>
        <w:tc>
          <w:tcPr>
            <w:tcW w:w="9172" w:type="dxa"/>
            <w:gridSpan w:val="6"/>
            <w:tcBorders>
              <w:top w:val="single" w:color="000000" w:sz="6" w:space="0"/>
              <w:left w:val="single" w:color="000000" w:sz="12" w:space="0"/>
              <w:bottom w:val="single" w:color="000000" w:sz="12" w:space="0"/>
              <w:right w:val="single" w:color="000000" w:sz="12" w:space="0"/>
            </w:tcBorders>
            <w:vAlign w:val="center"/>
          </w:tcPr>
          <w:p w14:paraId="23AA1A0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在“浙江省交通运输信用管理与服务系统”中，竞包人拟委任主要人员信息公开情况</w:t>
            </w:r>
          </w:p>
        </w:tc>
      </w:tr>
      <w:tr w14:paraId="3DAA5D9D">
        <w:tblPrEx>
          <w:tblCellMar>
            <w:top w:w="0" w:type="dxa"/>
            <w:left w:w="108" w:type="dxa"/>
            <w:bottom w:w="0" w:type="dxa"/>
            <w:right w:w="108" w:type="dxa"/>
          </w:tblCellMar>
        </w:tblPrEx>
        <w:trPr>
          <w:trHeight w:val="652" w:hRule="atLeast"/>
        </w:trPr>
        <w:tc>
          <w:tcPr>
            <w:tcW w:w="2474" w:type="dxa"/>
            <w:gridSpan w:val="2"/>
            <w:tcBorders>
              <w:top w:val="single" w:color="auto" w:sz="4" w:space="0"/>
              <w:left w:val="single" w:color="000000" w:sz="12" w:space="0"/>
              <w:bottom w:val="single" w:color="000000" w:sz="4" w:space="0"/>
              <w:right w:val="single" w:color="000000" w:sz="4" w:space="0"/>
            </w:tcBorders>
            <w:vAlign w:val="center"/>
          </w:tcPr>
          <w:p w14:paraId="6691F8A9">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人员</w:t>
            </w:r>
          </w:p>
        </w:tc>
        <w:tc>
          <w:tcPr>
            <w:tcW w:w="1539" w:type="dxa"/>
            <w:tcBorders>
              <w:top w:val="single" w:color="auto" w:sz="4" w:space="0"/>
              <w:left w:val="single" w:color="000000" w:sz="4" w:space="0"/>
              <w:bottom w:val="single" w:color="000000" w:sz="4" w:space="0"/>
              <w:right w:val="single" w:color="auto" w:sz="4" w:space="0"/>
            </w:tcBorders>
            <w:vAlign w:val="center"/>
          </w:tcPr>
          <w:p w14:paraId="4C57508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姓名</w:t>
            </w:r>
          </w:p>
        </w:tc>
        <w:tc>
          <w:tcPr>
            <w:tcW w:w="2450" w:type="dxa"/>
            <w:tcBorders>
              <w:top w:val="single" w:color="auto" w:sz="4" w:space="0"/>
              <w:left w:val="single" w:color="auto" w:sz="4" w:space="0"/>
              <w:bottom w:val="single" w:color="000000" w:sz="4" w:space="0"/>
              <w:right w:val="single" w:color="auto" w:sz="4" w:space="0"/>
            </w:tcBorders>
            <w:vAlign w:val="center"/>
          </w:tcPr>
          <w:p w14:paraId="599C9586">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是否在信息系统中公开</w:t>
            </w:r>
          </w:p>
          <w:p w14:paraId="41E06DB8">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（填是或否）</w:t>
            </w:r>
          </w:p>
        </w:tc>
        <w:tc>
          <w:tcPr>
            <w:tcW w:w="2709" w:type="dxa"/>
            <w:gridSpan w:val="2"/>
            <w:tcBorders>
              <w:top w:val="single" w:color="auto" w:sz="4" w:space="0"/>
              <w:left w:val="single" w:color="auto" w:sz="4" w:space="0"/>
              <w:bottom w:val="single" w:color="000000" w:sz="4" w:space="0"/>
              <w:right w:val="single" w:color="000000" w:sz="12" w:space="0"/>
            </w:tcBorders>
            <w:vAlign w:val="center"/>
          </w:tcPr>
          <w:p w14:paraId="22C9DA0C">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备注</w:t>
            </w:r>
          </w:p>
        </w:tc>
      </w:tr>
      <w:tr w14:paraId="1D4B4D9C">
        <w:tblPrEx>
          <w:tblCellMar>
            <w:top w:w="0" w:type="dxa"/>
            <w:left w:w="108" w:type="dxa"/>
            <w:bottom w:w="0" w:type="dxa"/>
            <w:right w:w="108" w:type="dxa"/>
          </w:tblCellMar>
        </w:tblPrEx>
        <w:trPr>
          <w:cantSplit/>
          <w:trHeight w:val="980" w:hRule="atLeast"/>
        </w:trPr>
        <w:tc>
          <w:tcPr>
            <w:tcW w:w="2474" w:type="dxa"/>
            <w:gridSpan w:val="2"/>
            <w:tcBorders>
              <w:top w:val="single" w:color="000000" w:sz="4" w:space="0"/>
              <w:left w:val="single" w:color="000000" w:sz="12" w:space="0"/>
              <w:bottom w:val="single" w:color="000000" w:sz="4" w:space="0"/>
              <w:right w:val="single" w:color="000000" w:sz="4" w:space="0"/>
            </w:tcBorders>
            <w:vAlign w:val="center"/>
          </w:tcPr>
          <w:p w14:paraId="40D3EB6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项目负责人</w:t>
            </w:r>
          </w:p>
          <w:p w14:paraId="1B29D1AA">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（职称证信息）</w:t>
            </w:r>
          </w:p>
        </w:tc>
        <w:tc>
          <w:tcPr>
            <w:tcW w:w="1539" w:type="dxa"/>
            <w:tcBorders>
              <w:top w:val="single" w:color="000000" w:sz="4" w:space="0"/>
              <w:left w:val="single" w:color="000000" w:sz="4" w:space="0"/>
              <w:bottom w:val="single" w:color="000000" w:sz="4" w:space="0"/>
              <w:right w:val="single" w:color="auto" w:sz="4" w:space="0"/>
            </w:tcBorders>
            <w:vAlign w:val="center"/>
          </w:tcPr>
          <w:p w14:paraId="53010165">
            <w:pPr>
              <w:pStyle w:val="14"/>
              <w:spacing w:line="300" w:lineRule="exact"/>
              <w:ind w:left="0" w:firstLine="0"/>
              <w:rPr>
                <w:rFonts w:ascii="宋体" w:hAnsi="宋体"/>
                <w:color w:val="auto"/>
                <w:szCs w:val="21"/>
                <w:highlight w:val="none"/>
              </w:rPr>
            </w:pPr>
          </w:p>
        </w:tc>
        <w:tc>
          <w:tcPr>
            <w:tcW w:w="2450" w:type="dxa"/>
            <w:tcBorders>
              <w:top w:val="single" w:color="000000" w:sz="4" w:space="0"/>
              <w:left w:val="single" w:color="auto" w:sz="4" w:space="0"/>
              <w:bottom w:val="single" w:color="000000" w:sz="4" w:space="0"/>
              <w:right w:val="single" w:color="auto" w:sz="4" w:space="0"/>
            </w:tcBorders>
            <w:vAlign w:val="center"/>
          </w:tcPr>
          <w:p w14:paraId="33702F2A">
            <w:pPr>
              <w:pStyle w:val="14"/>
              <w:spacing w:line="300" w:lineRule="exact"/>
              <w:ind w:left="0" w:firstLine="0"/>
              <w:rPr>
                <w:rFonts w:ascii="宋体" w:hAnsi="宋体"/>
                <w:color w:val="auto"/>
                <w:szCs w:val="21"/>
                <w:highlight w:val="none"/>
              </w:rPr>
            </w:pPr>
          </w:p>
        </w:tc>
        <w:tc>
          <w:tcPr>
            <w:tcW w:w="2709" w:type="dxa"/>
            <w:gridSpan w:val="2"/>
            <w:vMerge w:val="restart"/>
            <w:tcBorders>
              <w:top w:val="single" w:color="000000" w:sz="4" w:space="0"/>
              <w:left w:val="single" w:color="auto" w:sz="4" w:space="0"/>
              <w:right w:val="single" w:color="000000" w:sz="12" w:space="0"/>
            </w:tcBorders>
            <w:vAlign w:val="center"/>
          </w:tcPr>
          <w:p w14:paraId="2A4CFB6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本表后附查询结果打印件</w:t>
            </w:r>
          </w:p>
        </w:tc>
      </w:tr>
      <w:tr w14:paraId="530C2590">
        <w:tblPrEx>
          <w:tblCellMar>
            <w:top w:w="0" w:type="dxa"/>
            <w:left w:w="108" w:type="dxa"/>
            <w:bottom w:w="0" w:type="dxa"/>
            <w:right w:w="108" w:type="dxa"/>
          </w:tblCellMar>
        </w:tblPrEx>
        <w:trPr>
          <w:cantSplit/>
          <w:trHeight w:val="994" w:hRule="atLeast"/>
        </w:trPr>
        <w:tc>
          <w:tcPr>
            <w:tcW w:w="2474" w:type="dxa"/>
            <w:gridSpan w:val="2"/>
            <w:vMerge w:val="restart"/>
            <w:tcBorders>
              <w:top w:val="single" w:color="000000" w:sz="4" w:space="0"/>
              <w:left w:val="single" w:color="000000" w:sz="12" w:space="0"/>
              <w:right w:val="single" w:color="000000" w:sz="4" w:space="0"/>
            </w:tcBorders>
            <w:vAlign w:val="center"/>
          </w:tcPr>
          <w:p w14:paraId="08143531">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其他所有分项负责人（工程地质勘察分项负责人除外）的职称等相关证书信息（本项目无须提供）</w:t>
            </w:r>
          </w:p>
        </w:tc>
        <w:tc>
          <w:tcPr>
            <w:tcW w:w="1539" w:type="dxa"/>
            <w:tcBorders>
              <w:top w:val="single" w:color="000000" w:sz="4" w:space="0"/>
              <w:left w:val="single" w:color="000000" w:sz="4" w:space="0"/>
              <w:bottom w:val="single" w:color="000000" w:sz="4" w:space="0"/>
              <w:right w:val="single" w:color="auto" w:sz="4" w:space="0"/>
            </w:tcBorders>
            <w:vAlign w:val="center"/>
          </w:tcPr>
          <w:p w14:paraId="764AA7A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502D898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709" w:type="dxa"/>
            <w:gridSpan w:val="2"/>
            <w:vMerge w:val="continue"/>
            <w:tcBorders>
              <w:left w:val="single" w:color="auto" w:sz="4" w:space="0"/>
              <w:right w:val="single" w:color="000000" w:sz="12" w:space="0"/>
            </w:tcBorders>
            <w:vAlign w:val="center"/>
          </w:tcPr>
          <w:p w14:paraId="1CA93903">
            <w:pPr>
              <w:pStyle w:val="14"/>
              <w:spacing w:line="300" w:lineRule="exact"/>
              <w:ind w:left="0" w:firstLine="0"/>
              <w:rPr>
                <w:rFonts w:ascii="宋体" w:hAnsi="宋体"/>
                <w:color w:val="auto"/>
                <w:szCs w:val="21"/>
                <w:highlight w:val="none"/>
              </w:rPr>
            </w:pPr>
          </w:p>
        </w:tc>
      </w:tr>
      <w:tr w14:paraId="36D526E3">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47CC87EE">
            <w:pPr>
              <w:pStyle w:val="14"/>
              <w:spacing w:line="300" w:lineRule="exact"/>
              <w:ind w:left="0" w:firstLine="0"/>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205C20C5">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0840C36D">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709" w:type="dxa"/>
            <w:gridSpan w:val="2"/>
            <w:vMerge w:val="continue"/>
            <w:tcBorders>
              <w:left w:val="single" w:color="auto" w:sz="4" w:space="0"/>
              <w:right w:val="single" w:color="000000" w:sz="12" w:space="0"/>
            </w:tcBorders>
            <w:vAlign w:val="center"/>
          </w:tcPr>
          <w:p w14:paraId="0470ACB9">
            <w:pPr>
              <w:pStyle w:val="14"/>
              <w:spacing w:line="300" w:lineRule="exact"/>
              <w:ind w:left="0" w:firstLine="0"/>
              <w:rPr>
                <w:rFonts w:ascii="宋体" w:hAnsi="宋体"/>
                <w:color w:val="auto"/>
                <w:szCs w:val="21"/>
                <w:highlight w:val="none"/>
              </w:rPr>
            </w:pPr>
          </w:p>
        </w:tc>
      </w:tr>
      <w:tr w14:paraId="70CAF5F6">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34896729">
            <w:pPr>
              <w:pStyle w:val="14"/>
              <w:spacing w:line="300" w:lineRule="exact"/>
              <w:ind w:left="0" w:firstLine="0"/>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420AD1B5">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04F34946">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709" w:type="dxa"/>
            <w:gridSpan w:val="2"/>
            <w:vMerge w:val="continue"/>
            <w:tcBorders>
              <w:left w:val="single" w:color="auto" w:sz="4" w:space="0"/>
              <w:right w:val="single" w:color="000000" w:sz="12" w:space="0"/>
            </w:tcBorders>
            <w:vAlign w:val="center"/>
          </w:tcPr>
          <w:p w14:paraId="5E4D2975">
            <w:pPr>
              <w:pStyle w:val="14"/>
              <w:spacing w:line="300" w:lineRule="exact"/>
              <w:ind w:left="0" w:firstLine="0"/>
              <w:rPr>
                <w:rFonts w:ascii="宋体" w:hAnsi="宋体"/>
                <w:color w:val="auto"/>
                <w:szCs w:val="21"/>
                <w:highlight w:val="none"/>
              </w:rPr>
            </w:pPr>
          </w:p>
        </w:tc>
      </w:tr>
      <w:tr w14:paraId="191C0E68">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right w:val="single" w:color="000000" w:sz="4" w:space="0"/>
            </w:tcBorders>
            <w:vAlign w:val="center"/>
          </w:tcPr>
          <w:p w14:paraId="5F4A15CA">
            <w:pPr>
              <w:pStyle w:val="14"/>
              <w:spacing w:line="300" w:lineRule="exact"/>
              <w:ind w:left="0" w:firstLine="0"/>
              <w:rPr>
                <w:rFonts w:ascii="宋体" w:hAnsi="宋体"/>
                <w:color w:val="auto"/>
                <w:szCs w:val="21"/>
                <w:highlight w:val="none"/>
              </w:rPr>
            </w:pPr>
          </w:p>
        </w:tc>
        <w:tc>
          <w:tcPr>
            <w:tcW w:w="1539" w:type="dxa"/>
            <w:tcBorders>
              <w:top w:val="single" w:color="000000" w:sz="4" w:space="0"/>
              <w:left w:val="single" w:color="000000" w:sz="4" w:space="0"/>
              <w:bottom w:val="single" w:color="000000" w:sz="4" w:space="0"/>
              <w:right w:val="single" w:color="auto" w:sz="4" w:space="0"/>
            </w:tcBorders>
            <w:vAlign w:val="center"/>
          </w:tcPr>
          <w:p w14:paraId="42EA203C">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450" w:type="dxa"/>
            <w:tcBorders>
              <w:top w:val="single" w:color="000000" w:sz="4" w:space="0"/>
              <w:left w:val="single" w:color="auto" w:sz="4" w:space="0"/>
              <w:bottom w:val="single" w:color="000000" w:sz="4" w:space="0"/>
              <w:right w:val="single" w:color="auto" w:sz="4" w:space="0"/>
            </w:tcBorders>
            <w:vAlign w:val="center"/>
          </w:tcPr>
          <w:p w14:paraId="13426BB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709" w:type="dxa"/>
            <w:gridSpan w:val="2"/>
            <w:vMerge w:val="continue"/>
            <w:tcBorders>
              <w:left w:val="single" w:color="auto" w:sz="4" w:space="0"/>
              <w:right w:val="single" w:color="000000" w:sz="12" w:space="0"/>
            </w:tcBorders>
            <w:vAlign w:val="center"/>
          </w:tcPr>
          <w:p w14:paraId="3B9BF2BF">
            <w:pPr>
              <w:pStyle w:val="14"/>
              <w:spacing w:line="300" w:lineRule="exact"/>
              <w:ind w:left="0" w:firstLine="0"/>
              <w:rPr>
                <w:rFonts w:ascii="宋体" w:hAnsi="宋体"/>
                <w:color w:val="auto"/>
                <w:szCs w:val="21"/>
                <w:highlight w:val="none"/>
              </w:rPr>
            </w:pPr>
          </w:p>
        </w:tc>
      </w:tr>
      <w:tr w14:paraId="393D795C">
        <w:tblPrEx>
          <w:tblCellMar>
            <w:top w:w="0" w:type="dxa"/>
            <w:left w:w="108" w:type="dxa"/>
            <w:bottom w:w="0" w:type="dxa"/>
            <w:right w:w="108" w:type="dxa"/>
          </w:tblCellMar>
        </w:tblPrEx>
        <w:trPr>
          <w:cantSplit/>
          <w:trHeight w:val="980" w:hRule="atLeast"/>
        </w:trPr>
        <w:tc>
          <w:tcPr>
            <w:tcW w:w="2474" w:type="dxa"/>
            <w:gridSpan w:val="2"/>
            <w:vMerge w:val="continue"/>
            <w:tcBorders>
              <w:left w:val="single" w:color="000000" w:sz="12" w:space="0"/>
              <w:bottom w:val="single" w:color="auto" w:sz="12" w:space="0"/>
              <w:right w:val="single" w:color="000000" w:sz="4" w:space="0"/>
            </w:tcBorders>
            <w:vAlign w:val="center"/>
          </w:tcPr>
          <w:p w14:paraId="71D04A38">
            <w:pPr>
              <w:pStyle w:val="14"/>
              <w:spacing w:line="300" w:lineRule="exact"/>
              <w:ind w:left="0" w:firstLine="0"/>
              <w:rPr>
                <w:rFonts w:ascii="宋体" w:hAnsi="宋体"/>
                <w:color w:val="auto"/>
                <w:szCs w:val="21"/>
                <w:highlight w:val="none"/>
              </w:rPr>
            </w:pPr>
          </w:p>
        </w:tc>
        <w:tc>
          <w:tcPr>
            <w:tcW w:w="1539" w:type="dxa"/>
            <w:tcBorders>
              <w:top w:val="single" w:color="000000" w:sz="4" w:space="0"/>
              <w:left w:val="single" w:color="000000" w:sz="4" w:space="0"/>
              <w:bottom w:val="single" w:color="auto" w:sz="12" w:space="0"/>
              <w:right w:val="single" w:color="auto" w:sz="4" w:space="0"/>
            </w:tcBorders>
            <w:vAlign w:val="center"/>
          </w:tcPr>
          <w:p w14:paraId="4C9CA0EF">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450" w:type="dxa"/>
            <w:tcBorders>
              <w:top w:val="single" w:color="000000" w:sz="4" w:space="0"/>
              <w:left w:val="single" w:color="auto" w:sz="4" w:space="0"/>
              <w:bottom w:val="single" w:color="auto" w:sz="12" w:space="0"/>
              <w:right w:val="single" w:color="auto" w:sz="4" w:space="0"/>
            </w:tcBorders>
            <w:vAlign w:val="center"/>
          </w:tcPr>
          <w:p w14:paraId="734D871E">
            <w:pPr>
              <w:pStyle w:val="14"/>
              <w:spacing w:line="300" w:lineRule="exact"/>
              <w:ind w:left="0" w:firstLine="0"/>
              <w:rPr>
                <w:rFonts w:ascii="宋体" w:hAnsi="宋体"/>
                <w:color w:val="auto"/>
                <w:szCs w:val="21"/>
                <w:highlight w:val="none"/>
              </w:rPr>
            </w:pPr>
            <w:r>
              <w:rPr>
                <w:rFonts w:hint="eastAsia" w:ascii="宋体" w:hAnsi="宋体"/>
                <w:color w:val="auto"/>
                <w:szCs w:val="21"/>
                <w:highlight w:val="none"/>
              </w:rPr>
              <w:t>/</w:t>
            </w:r>
          </w:p>
        </w:tc>
        <w:tc>
          <w:tcPr>
            <w:tcW w:w="2709" w:type="dxa"/>
            <w:gridSpan w:val="2"/>
            <w:vMerge w:val="continue"/>
            <w:tcBorders>
              <w:left w:val="single" w:color="auto" w:sz="4" w:space="0"/>
              <w:bottom w:val="single" w:color="auto" w:sz="12" w:space="0"/>
              <w:right w:val="single" w:color="000000" w:sz="12" w:space="0"/>
            </w:tcBorders>
            <w:vAlign w:val="center"/>
          </w:tcPr>
          <w:p w14:paraId="68495A84">
            <w:pPr>
              <w:pStyle w:val="14"/>
              <w:spacing w:line="300" w:lineRule="exact"/>
              <w:ind w:left="0" w:firstLine="0"/>
              <w:rPr>
                <w:rFonts w:ascii="宋体" w:hAnsi="宋体"/>
                <w:color w:val="auto"/>
                <w:szCs w:val="21"/>
                <w:highlight w:val="none"/>
              </w:rPr>
            </w:pPr>
          </w:p>
        </w:tc>
      </w:tr>
    </w:tbl>
    <w:p w14:paraId="6B96EC7E">
      <w:pPr>
        <w:pStyle w:val="14"/>
        <w:spacing w:line="300" w:lineRule="exact"/>
        <w:ind w:left="0" w:firstLine="0"/>
        <w:rPr>
          <w:rFonts w:ascii="宋体" w:hAnsi="宋体"/>
          <w:color w:val="auto"/>
          <w:szCs w:val="21"/>
          <w:highlight w:val="none"/>
        </w:rPr>
      </w:pPr>
    </w:p>
    <w:p w14:paraId="3F492FD1">
      <w:pPr>
        <w:pStyle w:val="14"/>
        <w:ind w:left="1289" w:leftChars="177" w:right="347" w:hanging="917" w:hangingChars="437"/>
        <w:rPr>
          <w:rFonts w:ascii="宋体" w:hAnsi="宋体"/>
          <w:color w:val="auto"/>
          <w:highlight w:val="none"/>
        </w:rPr>
      </w:pPr>
      <w:r>
        <w:rPr>
          <w:rFonts w:hint="eastAsia" w:ascii="宋体" w:hAnsi="宋体"/>
          <w:color w:val="auto"/>
          <w:szCs w:val="21"/>
          <w:highlight w:val="none"/>
        </w:rPr>
        <w:t>注：上述人员未填写或未附查询结果打印件视为未公开。</w:t>
      </w:r>
    </w:p>
    <w:p w14:paraId="22BE8C7D">
      <w:pPr>
        <w:pStyle w:val="62"/>
        <w:jc w:val="center"/>
        <w:rPr>
          <w:color w:val="auto"/>
          <w:sz w:val="30"/>
          <w:szCs w:val="30"/>
          <w:highlight w:val="none"/>
        </w:rPr>
      </w:pPr>
      <w:r>
        <w:rPr>
          <w:color w:val="auto"/>
          <w:sz w:val="27"/>
          <w:szCs w:val="27"/>
          <w:highlight w:val="none"/>
        </w:rPr>
        <w:br w:type="page"/>
      </w:r>
      <w:bookmarkEnd w:id="985"/>
      <w:bookmarkStart w:id="1020" w:name="_Toc179632815"/>
      <w:bookmarkStart w:id="1021" w:name="_Toc152045795"/>
      <w:bookmarkStart w:id="1022" w:name="_Toc144974863"/>
      <w:bookmarkStart w:id="1023" w:name="_Toc152042584"/>
      <w:bookmarkStart w:id="1024" w:name="_Toc32047"/>
      <w:bookmarkStart w:id="1025" w:name="_Toc6769"/>
      <w:bookmarkStart w:id="1026" w:name="_Toc241"/>
      <w:bookmarkStart w:id="1027" w:name="_Toc30283"/>
      <w:bookmarkStart w:id="1028" w:name="_Toc27766"/>
      <w:bookmarkStart w:id="1029" w:name="_Toc16183"/>
      <w:bookmarkStart w:id="1030" w:name="_Hlk42507727"/>
      <w:r>
        <w:rPr>
          <w:rFonts w:hint="eastAsia"/>
          <w:color w:val="auto"/>
          <w:sz w:val="30"/>
          <w:szCs w:val="30"/>
          <w:highlight w:val="none"/>
        </w:rPr>
        <w:t>七</w:t>
      </w:r>
      <w:r>
        <w:rPr>
          <w:color w:val="auto"/>
          <w:sz w:val="30"/>
          <w:szCs w:val="30"/>
          <w:highlight w:val="none"/>
        </w:rPr>
        <w:t>、</w:t>
      </w:r>
      <w:bookmarkEnd w:id="1020"/>
      <w:bookmarkEnd w:id="1021"/>
      <w:bookmarkEnd w:id="1022"/>
      <w:bookmarkEnd w:id="1023"/>
      <w:r>
        <w:rPr>
          <w:color w:val="auto"/>
          <w:sz w:val="30"/>
          <w:szCs w:val="30"/>
          <w:highlight w:val="none"/>
        </w:rPr>
        <w:t>承诺函</w:t>
      </w:r>
      <w:bookmarkEnd w:id="1024"/>
      <w:bookmarkEnd w:id="1025"/>
      <w:bookmarkEnd w:id="1026"/>
      <w:bookmarkEnd w:id="1027"/>
      <w:bookmarkEnd w:id="1028"/>
      <w:bookmarkEnd w:id="1029"/>
    </w:p>
    <w:p w14:paraId="2983BFD0">
      <w:pPr>
        <w:spacing w:line="360" w:lineRule="auto"/>
        <w:rPr>
          <w:color w:val="auto"/>
          <w:highlight w:val="none"/>
        </w:rPr>
      </w:pPr>
    </w:p>
    <w:p w14:paraId="158DD981">
      <w:pPr>
        <w:spacing w:line="360" w:lineRule="auto"/>
        <w:rPr>
          <w:color w:val="auto"/>
          <w:highlight w:val="none"/>
        </w:rPr>
      </w:pPr>
      <w:r>
        <w:rPr>
          <w:color w:val="auto"/>
          <w:highlight w:val="none"/>
        </w:rPr>
        <w:t>_________________________（</w:t>
      </w:r>
      <w:r>
        <w:rPr>
          <w:rFonts w:hint="eastAsia"/>
          <w:color w:val="auto"/>
          <w:highlight w:val="none"/>
        </w:rPr>
        <w:t>发包</w:t>
      </w:r>
      <w:r>
        <w:rPr>
          <w:color w:val="auto"/>
          <w:highlight w:val="none"/>
        </w:rPr>
        <w:t>人名称）：</w:t>
      </w:r>
    </w:p>
    <w:p w14:paraId="39F4EA7C">
      <w:pPr>
        <w:spacing w:line="360" w:lineRule="auto"/>
        <w:rPr>
          <w:color w:val="auto"/>
          <w:highlight w:val="none"/>
        </w:rPr>
      </w:pPr>
    </w:p>
    <w:p w14:paraId="380CF069">
      <w:pPr>
        <w:spacing w:line="360" w:lineRule="auto"/>
        <w:ind w:firstLine="435"/>
        <w:rPr>
          <w:color w:val="auto"/>
          <w:highlight w:val="none"/>
        </w:rPr>
      </w:pPr>
      <w:r>
        <w:rPr>
          <w:color w:val="auto"/>
          <w:highlight w:val="none"/>
        </w:rPr>
        <w:t>我方参加了__________________（项目名称）____标段</w:t>
      </w:r>
      <w:r>
        <w:rPr>
          <w:rFonts w:hint="eastAsia"/>
          <w:color w:val="auto"/>
          <w:highlight w:val="none"/>
        </w:rPr>
        <w:t>设计竞包</w:t>
      </w:r>
      <w:r>
        <w:rPr>
          <w:color w:val="auto"/>
          <w:highlight w:val="none"/>
        </w:rPr>
        <w:t>，若我方</w:t>
      </w:r>
      <w:r>
        <w:rPr>
          <w:rFonts w:hint="eastAsia"/>
          <w:color w:val="auto"/>
          <w:highlight w:val="none"/>
        </w:rPr>
        <w:t>中包</w:t>
      </w:r>
      <w:r>
        <w:rPr>
          <w:color w:val="auto"/>
          <w:highlight w:val="none"/>
        </w:rPr>
        <w:t>，我方在此承诺：</w:t>
      </w:r>
    </w:p>
    <w:p w14:paraId="485C3516">
      <w:pPr>
        <w:spacing w:line="360" w:lineRule="auto"/>
        <w:ind w:firstLine="435"/>
        <w:rPr>
          <w:color w:val="auto"/>
          <w:highlight w:val="none"/>
        </w:rPr>
      </w:pPr>
      <w:r>
        <w:rPr>
          <w:color w:val="auto"/>
          <w:highlight w:val="none"/>
        </w:rPr>
        <w:t>我方在</w:t>
      </w:r>
      <w:r>
        <w:rPr>
          <w:rFonts w:hint="eastAsia"/>
          <w:color w:val="auto"/>
          <w:highlight w:val="none"/>
        </w:rPr>
        <w:t>竞包</w:t>
      </w:r>
      <w:r>
        <w:rPr>
          <w:color w:val="auto"/>
          <w:highlight w:val="none"/>
        </w:rPr>
        <w:t>文件中填报</w:t>
      </w:r>
      <w:r>
        <w:rPr>
          <w:rFonts w:hint="eastAsia"/>
          <w:color w:val="auto"/>
          <w:highlight w:val="none"/>
        </w:rPr>
        <w:t>的项目负责人和各分项负责人（如有）均为我方自有人员，并已按相关规定缴纳社保</w:t>
      </w:r>
      <w:r>
        <w:rPr>
          <w:color w:val="auto"/>
          <w:highlight w:val="none"/>
        </w:rPr>
        <w:t>。</w:t>
      </w:r>
    </w:p>
    <w:p w14:paraId="0FFE0CA7">
      <w:pPr>
        <w:spacing w:line="360" w:lineRule="auto"/>
        <w:ind w:firstLine="435"/>
        <w:rPr>
          <w:color w:val="auto"/>
          <w:highlight w:val="none"/>
        </w:rPr>
      </w:pPr>
      <w:r>
        <w:rPr>
          <w:color w:val="auto"/>
          <w:highlight w:val="none"/>
        </w:rPr>
        <w:t>我方同时承诺，不通过互联网与任何单位和个人进行与本项目有关图纸资料交换传递，不通过任何途径向本项目无关方泄露和传播本项目有关图纸资料。</w:t>
      </w:r>
    </w:p>
    <w:p w14:paraId="47D26C42">
      <w:pPr>
        <w:spacing w:line="360" w:lineRule="auto"/>
        <w:ind w:firstLine="435"/>
        <w:rPr>
          <w:color w:val="auto"/>
          <w:highlight w:val="none"/>
        </w:rPr>
      </w:pPr>
      <w:r>
        <w:rPr>
          <w:color w:val="auto"/>
          <w:highlight w:val="none"/>
        </w:rPr>
        <w:t>如我方违背了上述承诺，本项目</w:t>
      </w:r>
      <w:r>
        <w:rPr>
          <w:rFonts w:hint="eastAsia"/>
          <w:color w:val="auto"/>
          <w:highlight w:val="none"/>
        </w:rPr>
        <w:t>发包</w:t>
      </w:r>
      <w:r>
        <w:rPr>
          <w:color w:val="auto"/>
          <w:highlight w:val="none"/>
        </w:rPr>
        <w:t>人有权取消我方的</w:t>
      </w:r>
      <w:r>
        <w:rPr>
          <w:rFonts w:hint="eastAsia"/>
          <w:color w:val="auto"/>
          <w:highlight w:val="none"/>
        </w:rPr>
        <w:t>中包</w:t>
      </w:r>
      <w:r>
        <w:rPr>
          <w:color w:val="auto"/>
          <w:highlight w:val="none"/>
        </w:rPr>
        <w:t>资格，并由</w:t>
      </w:r>
      <w:r>
        <w:rPr>
          <w:rFonts w:hint="eastAsia"/>
          <w:color w:val="auto"/>
          <w:highlight w:val="none"/>
        </w:rPr>
        <w:t>发包</w:t>
      </w:r>
      <w:r>
        <w:rPr>
          <w:color w:val="auto"/>
          <w:highlight w:val="none"/>
        </w:rPr>
        <w:t>人将我方的违约行为上报省级交通主管部门，作为不良记录纳入</w:t>
      </w:r>
      <w:r>
        <w:rPr>
          <w:rFonts w:hint="eastAsia"/>
          <w:color w:val="auto"/>
          <w:szCs w:val="21"/>
          <w:highlight w:val="none"/>
        </w:rPr>
        <w:t>浙江省交通运输信用管理与服务系统</w:t>
      </w:r>
      <w:r>
        <w:rPr>
          <w:color w:val="auto"/>
          <w:highlight w:val="none"/>
        </w:rPr>
        <w:t>。</w:t>
      </w:r>
    </w:p>
    <w:p w14:paraId="751DDC4A">
      <w:pPr>
        <w:spacing w:line="360" w:lineRule="auto"/>
        <w:ind w:firstLine="435"/>
        <w:rPr>
          <w:color w:val="auto"/>
          <w:highlight w:val="none"/>
        </w:rPr>
      </w:pPr>
    </w:p>
    <w:p w14:paraId="6DC31563">
      <w:pPr>
        <w:spacing w:line="360" w:lineRule="auto"/>
        <w:ind w:firstLine="525" w:firstLineChars="250"/>
        <w:rPr>
          <w:color w:val="auto"/>
          <w:highlight w:val="none"/>
        </w:rPr>
      </w:pPr>
      <w:r>
        <w:rPr>
          <w:color w:val="auto"/>
          <w:szCs w:val="24"/>
          <w:highlight w:val="none"/>
          <w:lang w:bidi="ar"/>
        </w:rPr>
        <w:t xml:space="preserve">                                </w:t>
      </w:r>
      <w:r>
        <w:rPr>
          <w:rFonts w:hint="eastAsia" w:cs="宋体"/>
          <w:color w:val="auto"/>
          <w:szCs w:val="24"/>
          <w:highlight w:val="none"/>
          <w:lang w:bidi="ar"/>
        </w:rPr>
        <w:t>竞包人：</w:t>
      </w:r>
      <w:r>
        <w:rPr>
          <w:color w:val="auto"/>
          <w:szCs w:val="24"/>
          <w:highlight w:val="none"/>
          <w:lang w:bidi="ar"/>
        </w:rPr>
        <w:t>_______________________</w:t>
      </w:r>
      <w:r>
        <w:rPr>
          <w:rFonts w:hint="eastAsia" w:cs="宋体"/>
          <w:color w:val="auto"/>
          <w:szCs w:val="24"/>
          <w:highlight w:val="none"/>
          <w:lang w:bidi="ar"/>
        </w:rPr>
        <w:t>（盖单位印章）</w:t>
      </w:r>
    </w:p>
    <w:p w14:paraId="2B80B921">
      <w:pPr>
        <w:spacing w:line="360" w:lineRule="auto"/>
        <w:ind w:firstLine="525" w:firstLineChars="250"/>
        <w:rPr>
          <w:color w:val="auto"/>
          <w:highlight w:val="none"/>
        </w:rPr>
      </w:pPr>
      <w:r>
        <w:rPr>
          <w:color w:val="auto"/>
          <w:szCs w:val="24"/>
          <w:highlight w:val="none"/>
          <w:lang w:bidi="ar"/>
        </w:rPr>
        <w:t xml:space="preserve">                                </w:t>
      </w:r>
      <w:r>
        <w:rPr>
          <w:rFonts w:hint="eastAsia" w:cs="宋体"/>
          <w:color w:val="auto"/>
          <w:szCs w:val="24"/>
          <w:highlight w:val="none"/>
          <w:lang w:bidi="ar"/>
        </w:rPr>
        <w:t>法定代表人：</w:t>
      </w:r>
      <w:r>
        <w:rPr>
          <w:color w:val="auto"/>
          <w:szCs w:val="24"/>
          <w:highlight w:val="none"/>
          <w:lang w:bidi="ar"/>
        </w:rPr>
        <w:t>_______________</w:t>
      </w:r>
      <w:r>
        <w:rPr>
          <w:rFonts w:hint="eastAsia" w:cs="宋体"/>
          <w:color w:val="auto"/>
          <w:szCs w:val="24"/>
          <w:highlight w:val="none"/>
          <w:lang w:bidi="ar"/>
        </w:rPr>
        <w:t>（盖法定代表人章）</w:t>
      </w:r>
    </w:p>
    <w:p w14:paraId="5E249B5F">
      <w:pPr>
        <w:spacing w:line="360" w:lineRule="auto"/>
        <w:ind w:firstLine="435"/>
        <w:rPr>
          <w:color w:val="auto"/>
          <w:highlight w:val="none"/>
        </w:rPr>
      </w:pPr>
      <w:r>
        <w:rPr>
          <w:color w:val="auto"/>
          <w:szCs w:val="24"/>
          <w:highlight w:val="none"/>
          <w:lang w:bidi="ar"/>
        </w:rPr>
        <w:t xml:space="preserve">                                          ________</w:t>
      </w:r>
      <w:r>
        <w:rPr>
          <w:rFonts w:hint="eastAsia" w:cs="宋体"/>
          <w:color w:val="auto"/>
          <w:szCs w:val="24"/>
          <w:highlight w:val="none"/>
          <w:lang w:bidi="ar"/>
        </w:rPr>
        <w:t>年</w:t>
      </w:r>
      <w:r>
        <w:rPr>
          <w:color w:val="auto"/>
          <w:szCs w:val="24"/>
          <w:highlight w:val="none"/>
          <w:lang w:bidi="ar"/>
        </w:rPr>
        <w:t>____</w:t>
      </w:r>
      <w:r>
        <w:rPr>
          <w:rFonts w:hint="eastAsia" w:cs="宋体"/>
          <w:color w:val="auto"/>
          <w:szCs w:val="24"/>
          <w:highlight w:val="none"/>
          <w:lang w:bidi="ar"/>
        </w:rPr>
        <w:t>月</w:t>
      </w:r>
      <w:r>
        <w:rPr>
          <w:color w:val="auto"/>
          <w:szCs w:val="24"/>
          <w:highlight w:val="none"/>
          <w:lang w:bidi="ar"/>
        </w:rPr>
        <w:t>____</w:t>
      </w:r>
      <w:r>
        <w:rPr>
          <w:rFonts w:hint="eastAsia" w:cs="宋体"/>
          <w:color w:val="auto"/>
          <w:szCs w:val="24"/>
          <w:highlight w:val="none"/>
          <w:lang w:bidi="ar"/>
        </w:rPr>
        <w:t>日</w:t>
      </w:r>
    </w:p>
    <w:p w14:paraId="64ECDEC6">
      <w:pPr>
        <w:jc w:val="center"/>
        <w:rPr>
          <w:rFonts w:ascii="黑体" w:hAnsi="宋体" w:eastAsia="黑体" w:cs="黑体"/>
          <w:color w:val="auto"/>
          <w:sz w:val="36"/>
          <w:szCs w:val="36"/>
          <w:highlight w:val="none"/>
        </w:rPr>
      </w:pPr>
      <w:r>
        <w:rPr>
          <w:color w:val="auto"/>
          <w:sz w:val="30"/>
          <w:szCs w:val="30"/>
          <w:highlight w:val="none"/>
        </w:rPr>
        <w:br w:type="page"/>
      </w:r>
      <w:r>
        <w:rPr>
          <w:rFonts w:hint="eastAsia" w:ascii="黑体" w:hAnsi="宋体" w:eastAsia="黑体" w:cs="黑体"/>
          <w:color w:val="auto"/>
          <w:sz w:val="36"/>
          <w:szCs w:val="36"/>
          <w:highlight w:val="none"/>
          <w:lang w:bidi="ar"/>
        </w:rPr>
        <w:t>诚信竞包承诺函</w:t>
      </w:r>
    </w:p>
    <w:p w14:paraId="40E39E3C">
      <w:pPr>
        <w:spacing w:line="400" w:lineRule="exact"/>
        <w:rPr>
          <w:color w:val="auto"/>
          <w:highlight w:val="none"/>
        </w:rPr>
      </w:pPr>
    </w:p>
    <w:p w14:paraId="381A697D">
      <w:pPr>
        <w:spacing w:line="400" w:lineRule="exact"/>
        <w:rPr>
          <w:color w:val="auto"/>
          <w:highlight w:val="none"/>
        </w:rPr>
      </w:pPr>
      <w:r>
        <w:rPr>
          <w:color w:val="auto"/>
          <w:szCs w:val="24"/>
          <w:highlight w:val="none"/>
          <w:lang w:bidi="ar"/>
        </w:rPr>
        <w:t>_________________________</w:t>
      </w:r>
      <w:r>
        <w:rPr>
          <w:rFonts w:hint="eastAsia" w:cs="宋体"/>
          <w:color w:val="auto"/>
          <w:szCs w:val="24"/>
          <w:highlight w:val="none"/>
          <w:lang w:bidi="ar"/>
        </w:rPr>
        <w:t>（发包人名称）：</w:t>
      </w:r>
    </w:p>
    <w:p w14:paraId="1973102C">
      <w:pPr>
        <w:spacing w:line="400" w:lineRule="exact"/>
        <w:ind w:firstLine="435"/>
        <w:rPr>
          <w:color w:val="auto"/>
          <w:highlight w:val="none"/>
        </w:rPr>
      </w:pPr>
      <w:r>
        <w:rPr>
          <w:rFonts w:hint="eastAsia" w:cs="宋体"/>
          <w:color w:val="auto"/>
          <w:szCs w:val="24"/>
          <w:highlight w:val="none"/>
          <w:lang w:bidi="ar"/>
        </w:rPr>
        <w:t>我方参加了</w:t>
      </w:r>
      <w:r>
        <w:rPr>
          <w:color w:val="auto"/>
          <w:szCs w:val="24"/>
          <w:highlight w:val="none"/>
          <w:lang w:bidi="ar"/>
        </w:rPr>
        <w:t>__________________</w:t>
      </w:r>
      <w:r>
        <w:rPr>
          <w:rFonts w:hint="eastAsia" w:cs="宋体"/>
          <w:color w:val="auto"/>
          <w:szCs w:val="24"/>
          <w:highlight w:val="none"/>
          <w:lang w:bidi="ar"/>
        </w:rPr>
        <w:t>（项目名称）</w:t>
      </w:r>
      <w:r>
        <w:rPr>
          <w:color w:val="auto"/>
          <w:szCs w:val="24"/>
          <w:highlight w:val="none"/>
          <w:lang w:bidi="ar"/>
        </w:rPr>
        <w:t>____</w:t>
      </w:r>
      <w:r>
        <w:rPr>
          <w:rFonts w:hint="eastAsia" w:cs="宋体"/>
          <w:color w:val="auto"/>
          <w:szCs w:val="24"/>
          <w:highlight w:val="none"/>
          <w:lang w:bidi="ar"/>
        </w:rPr>
        <w:t>标段设计竞包，我方在此承诺：</w:t>
      </w:r>
    </w:p>
    <w:p w14:paraId="097DB8DC">
      <w:pPr>
        <w:spacing w:line="400" w:lineRule="exact"/>
        <w:ind w:firstLine="435"/>
        <w:rPr>
          <w:rFonts w:ascii="宋体" w:hAnsi="宋体" w:cs="宋体"/>
          <w:color w:val="auto"/>
          <w:szCs w:val="21"/>
          <w:highlight w:val="none"/>
        </w:rPr>
      </w:pPr>
      <w:r>
        <w:rPr>
          <w:rFonts w:hint="eastAsia" w:ascii="宋体" w:hAnsi="宋体" w:cs="宋体"/>
          <w:color w:val="auto"/>
          <w:szCs w:val="21"/>
          <w:highlight w:val="none"/>
          <w:lang w:bidi="ar"/>
        </w:rPr>
        <w:t>我方法定代表人、拟派项目负责人、委托代理人等主要责任人遵循公开、公平、公正和诚实信用的原则参与本次竞包，没有弄虚作假、串通竞包、行贿等行为。</w:t>
      </w:r>
    </w:p>
    <w:p w14:paraId="1CC0E9FA">
      <w:pPr>
        <w:spacing w:line="400" w:lineRule="exact"/>
        <w:ind w:firstLine="435"/>
        <w:rPr>
          <w:color w:val="auto"/>
          <w:highlight w:val="none"/>
        </w:rPr>
      </w:pPr>
      <w:r>
        <w:rPr>
          <w:rFonts w:hint="eastAsia" w:cs="宋体"/>
          <w:color w:val="auto"/>
          <w:szCs w:val="24"/>
          <w:highlight w:val="none"/>
          <w:lang w:bidi="ar"/>
        </w:rPr>
        <w:t>以上承诺如有虚假，愿意接受竞包保证金不予退还的处理。如已中包，同意发包人取消我方中包资格，并按《浙江省交通建设工程从业主体信用评价管理细则》扣分或纳入负面清单管理。给发包人造成损失的，愿意依法承担赔偿责任。</w:t>
      </w:r>
    </w:p>
    <w:p w14:paraId="53011B76">
      <w:pPr>
        <w:spacing w:line="400" w:lineRule="exact"/>
        <w:ind w:firstLine="435"/>
        <w:rPr>
          <w:color w:val="auto"/>
          <w:highlight w:val="none"/>
        </w:rPr>
      </w:pPr>
    </w:p>
    <w:p w14:paraId="202F9393">
      <w:pPr>
        <w:spacing w:line="400" w:lineRule="exact"/>
        <w:ind w:firstLine="435"/>
        <w:rPr>
          <w:color w:val="auto"/>
          <w:highlight w:val="none"/>
        </w:rPr>
      </w:pPr>
    </w:p>
    <w:p w14:paraId="2D1BF47D">
      <w:pPr>
        <w:spacing w:line="360" w:lineRule="auto"/>
        <w:ind w:firstLine="525" w:firstLineChars="250"/>
        <w:rPr>
          <w:color w:val="auto"/>
          <w:highlight w:val="none"/>
        </w:rPr>
      </w:pPr>
      <w:r>
        <w:rPr>
          <w:color w:val="auto"/>
          <w:szCs w:val="24"/>
          <w:highlight w:val="none"/>
          <w:lang w:bidi="ar"/>
        </w:rPr>
        <w:t xml:space="preserve">                                </w:t>
      </w:r>
      <w:r>
        <w:rPr>
          <w:rFonts w:hint="eastAsia" w:cs="宋体"/>
          <w:color w:val="auto"/>
          <w:szCs w:val="24"/>
          <w:highlight w:val="none"/>
          <w:lang w:bidi="ar"/>
        </w:rPr>
        <w:t>竞包人：</w:t>
      </w:r>
      <w:r>
        <w:rPr>
          <w:color w:val="auto"/>
          <w:szCs w:val="24"/>
          <w:highlight w:val="none"/>
          <w:lang w:bidi="ar"/>
        </w:rPr>
        <w:t>_______________________</w:t>
      </w:r>
      <w:r>
        <w:rPr>
          <w:rFonts w:hint="eastAsia" w:cs="宋体"/>
          <w:color w:val="auto"/>
          <w:szCs w:val="24"/>
          <w:highlight w:val="none"/>
          <w:lang w:bidi="ar"/>
        </w:rPr>
        <w:t>（盖单位印章）</w:t>
      </w:r>
    </w:p>
    <w:p w14:paraId="220D5E27">
      <w:pPr>
        <w:spacing w:line="360" w:lineRule="auto"/>
        <w:ind w:firstLine="525" w:firstLineChars="250"/>
        <w:rPr>
          <w:color w:val="auto"/>
          <w:highlight w:val="none"/>
        </w:rPr>
      </w:pPr>
      <w:r>
        <w:rPr>
          <w:color w:val="auto"/>
          <w:szCs w:val="24"/>
          <w:highlight w:val="none"/>
          <w:lang w:bidi="ar"/>
        </w:rPr>
        <w:t xml:space="preserve">                                </w:t>
      </w:r>
      <w:r>
        <w:rPr>
          <w:rFonts w:hint="eastAsia" w:cs="宋体"/>
          <w:color w:val="auto"/>
          <w:szCs w:val="24"/>
          <w:highlight w:val="none"/>
          <w:lang w:bidi="ar"/>
        </w:rPr>
        <w:t>法定代表人：</w:t>
      </w:r>
      <w:r>
        <w:rPr>
          <w:color w:val="auto"/>
          <w:szCs w:val="24"/>
          <w:highlight w:val="none"/>
          <w:lang w:bidi="ar"/>
        </w:rPr>
        <w:t>_______________</w:t>
      </w:r>
      <w:r>
        <w:rPr>
          <w:rFonts w:hint="eastAsia" w:cs="宋体"/>
          <w:color w:val="auto"/>
          <w:szCs w:val="24"/>
          <w:highlight w:val="none"/>
          <w:lang w:bidi="ar"/>
        </w:rPr>
        <w:t>（盖法定代表人章）</w:t>
      </w:r>
    </w:p>
    <w:p w14:paraId="0715DEC8">
      <w:pPr>
        <w:spacing w:line="360" w:lineRule="auto"/>
        <w:ind w:firstLine="435"/>
        <w:rPr>
          <w:color w:val="auto"/>
          <w:highlight w:val="none"/>
        </w:rPr>
      </w:pPr>
      <w:r>
        <w:rPr>
          <w:color w:val="auto"/>
          <w:szCs w:val="24"/>
          <w:highlight w:val="none"/>
          <w:lang w:bidi="ar"/>
        </w:rPr>
        <w:t xml:space="preserve">                                          ________</w:t>
      </w:r>
      <w:r>
        <w:rPr>
          <w:rFonts w:hint="eastAsia" w:cs="宋体"/>
          <w:color w:val="auto"/>
          <w:szCs w:val="24"/>
          <w:highlight w:val="none"/>
          <w:lang w:bidi="ar"/>
        </w:rPr>
        <w:t>年</w:t>
      </w:r>
      <w:r>
        <w:rPr>
          <w:color w:val="auto"/>
          <w:szCs w:val="24"/>
          <w:highlight w:val="none"/>
          <w:lang w:bidi="ar"/>
        </w:rPr>
        <w:t>____</w:t>
      </w:r>
      <w:r>
        <w:rPr>
          <w:rFonts w:hint="eastAsia" w:cs="宋体"/>
          <w:color w:val="auto"/>
          <w:szCs w:val="24"/>
          <w:highlight w:val="none"/>
          <w:lang w:bidi="ar"/>
        </w:rPr>
        <w:t>月</w:t>
      </w:r>
      <w:r>
        <w:rPr>
          <w:color w:val="auto"/>
          <w:szCs w:val="24"/>
          <w:highlight w:val="none"/>
          <w:lang w:bidi="ar"/>
        </w:rPr>
        <w:t>____</w:t>
      </w:r>
      <w:r>
        <w:rPr>
          <w:rFonts w:hint="eastAsia" w:cs="宋体"/>
          <w:color w:val="auto"/>
          <w:szCs w:val="24"/>
          <w:highlight w:val="none"/>
          <w:lang w:bidi="ar"/>
        </w:rPr>
        <w:t>日</w:t>
      </w:r>
    </w:p>
    <w:p w14:paraId="103EE6B5">
      <w:pPr>
        <w:pStyle w:val="62"/>
        <w:spacing w:before="0"/>
        <w:jc w:val="center"/>
        <w:rPr>
          <w:color w:val="auto"/>
          <w:sz w:val="30"/>
          <w:szCs w:val="30"/>
          <w:highlight w:val="none"/>
        </w:rPr>
      </w:pPr>
      <w:r>
        <w:rPr>
          <w:color w:val="auto"/>
          <w:sz w:val="30"/>
          <w:szCs w:val="30"/>
          <w:highlight w:val="none"/>
        </w:rPr>
        <w:br w:type="page"/>
      </w:r>
      <w:bookmarkStart w:id="1031" w:name="_Toc20043"/>
      <w:bookmarkStart w:id="1032" w:name="_Toc5790"/>
      <w:bookmarkStart w:id="1033" w:name="_Toc17800"/>
      <w:bookmarkStart w:id="1034" w:name="_Toc17767"/>
      <w:bookmarkStart w:id="1035" w:name="_Toc27621"/>
      <w:bookmarkStart w:id="1036" w:name="_Toc32534"/>
      <w:r>
        <w:rPr>
          <w:rFonts w:hint="eastAsia"/>
          <w:color w:val="auto"/>
          <w:sz w:val="30"/>
          <w:szCs w:val="30"/>
          <w:highlight w:val="none"/>
        </w:rPr>
        <w:t>八、其他材料</w:t>
      </w:r>
      <w:bookmarkEnd w:id="1031"/>
      <w:bookmarkEnd w:id="1032"/>
      <w:bookmarkEnd w:id="1033"/>
      <w:bookmarkEnd w:id="1034"/>
      <w:bookmarkEnd w:id="1035"/>
      <w:bookmarkEnd w:id="1036"/>
    </w:p>
    <w:p w14:paraId="76563D11">
      <w:pPr>
        <w:pStyle w:val="14"/>
        <w:spacing w:line="440" w:lineRule="exact"/>
        <w:jc w:val="center"/>
        <w:rPr>
          <w:rFonts w:eastAsia="黑体"/>
          <w:color w:val="auto"/>
          <w:sz w:val="20"/>
          <w:szCs w:val="20"/>
          <w:highlight w:val="none"/>
        </w:rPr>
      </w:pPr>
    </w:p>
    <w:p w14:paraId="44275A71">
      <w:pPr>
        <w:pStyle w:val="14"/>
        <w:spacing w:line="400" w:lineRule="exact"/>
        <w:rPr>
          <w:color w:val="auto"/>
          <w:szCs w:val="21"/>
          <w:highlight w:val="none"/>
        </w:rPr>
      </w:pPr>
    </w:p>
    <w:bookmarkEnd w:id="1030"/>
    <w:p w14:paraId="04AC975B">
      <w:pPr>
        <w:pStyle w:val="14"/>
        <w:spacing w:line="400" w:lineRule="exact"/>
        <w:jc w:val="center"/>
        <w:rPr>
          <w:color w:val="auto"/>
          <w:szCs w:val="21"/>
          <w:highlight w:val="none"/>
        </w:rPr>
      </w:pPr>
      <w:r>
        <w:rPr>
          <w:color w:val="auto"/>
          <w:szCs w:val="21"/>
          <w:highlight w:val="none"/>
        </w:rPr>
        <w:br w:type="page"/>
      </w:r>
      <w:bookmarkStart w:id="1037" w:name="_Hlk42507821"/>
    </w:p>
    <w:p w14:paraId="553F7EA9">
      <w:pPr>
        <w:pStyle w:val="14"/>
        <w:spacing w:line="400" w:lineRule="exact"/>
        <w:jc w:val="center"/>
        <w:rPr>
          <w:color w:val="auto"/>
          <w:szCs w:val="21"/>
          <w:highlight w:val="none"/>
        </w:rPr>
      </w:pPr>
    </w:p>
    <w:p w14:paraId="5C522CCA">
      <w:pPr>
        <w:pStyle w:val="14"/>
        <w:spacing w:line="400" w:lineRule="exact"/>
        <w:jc w:val="center"/>
        <w:rPr>
          <w:rFonts w:ascii="黑体" w:hAnsi="黑体" w:eastAsia="黑体"/>
          <w:color w:val="auto"/>
          <w:sz w:val="36"/>
          <w:szCs w:val="36"/>
          <w:highlight w:val="none"/>
        </w:rPr>
      </w:pPr>
      <w:r>
        <w:rPr>
          <w:rFonts w:hint="eastAsia" w:eastAsia="黑体"/>
          <w:color w:val="auto"/>
          <w:sz w:val="36"/>
          <w:szCs w:val="36"/>
          <w:highlight w:val="none"/>
        </w:rPr>
        <w:t>浙江省</w:t>
      </w:r>
    </w:p>
    <w:p w14:paraId="1C1DF132">
      <w:pPr>
        <w:pStyle w:val="14"/>
        <w:spacing w:line="400" w:lineRule="exact"/>
        <w:jc w:val="center"/>
        <w:rPr>
          <w:rFonts w:ascii="黑体" w:hAnsi="黑体" w:eastAsia="黑体"/>
          <w:color w:val="auto"/>
          <w:sz w:val="36"/>
          <w:szCs w:val="36"/>
          <w:highlight w:val="none"/>
        </w:rPr>
      </w:pPr>
    </w:p>
    <w:p w14:paraId="44D8A16C">
      <w:pPr>
        <w:pStyle w:val="14"/>
        <w:jc w:val="center"/>
        <w:rPr>
          <w:rFonts w:eastAsia="黑体"/>
          <w:color w:val="auto"/>
          <w:sz w:val="36"/>
          <w:szCs w:val="36"/>
          <w:highlight w:val="none"/>
        </w:rPr>
      </w:pPr>
      <w:r>
        <w:rPr>
          <w:rFonts w:hint="eastAsia" w:eastAsia="黑体"/>
          <w:color w:val="auto"/>
          <w:sz w:val="36"/>
          <w:szCs w:val="36"/>
          <w:highlight w:val="none"/>
          <w:u w:val="single"/>
        </w:rPr>
        <w:t xml:space="preserve">            </w:t>
      </w:r>
      <w:r>
        <w:rPr>
          <w:rFonts w:eastAsia="黑体"/>
          <w:color w:val="auto"/>
          <w:sz w:val="36"/>
          <w:szCs w:val="36"/>
          <w:highlight w:val="none"/>
        </w:rPr>
        <w:t>（项目名称）</w:t>
      </w:r>
      <w:r>
        <w:rPr>
          <w:rFonts w:eastAsia="黑体"/>
          <w:color w:val="auto"/>
          <w:sz w:val="36"/>
          <w:szCs w:val="36"/>
          <w:highlight w:val="none"/>
          <w:u w:val="single"/>
        </w:rPr>
        <w:t xml:space="preserve">   </w:t>
      </w:r>
      <w:r>
        <w:rPr>
          <w:rFonts w:eastAsia="黑体"/>
          <w:color w:val="auto"/>
          <w:sz w:val="36"/>
          <w:szCs w:val="36"/>
          <w:highlight w:val="none"/>
        </w:rPr>
        <w:t>标段</w:t>
      </w:r>
      <w:r>
        <w:rPr>
          <w:rFonts w:hint="eastAsia" w:eastAsia="黑体"/>
          <w:color w:val="auto"/>
          <w:sz w:val="36"/>
          <w:szCs w:val="36"/>
          <w:highlight w:val="none"/>
        </w:rPr>
        <w:t>设计发包</w:t>
      </w:r>
    </w:p>
    <w:p w14:paraId="7A9D76C7">
      <w:pPr>
        <w:pStyle w:val="14"/>
        <w:spacing w:line="460" w:lineRule="exact"/>
        <w:rPr>
          <w:rFonts w:eastAsia="黑体"/>
          <w:color w:val="auto"/>
          <w:sz w:val="20"/>
          <w:szCs w:val="20"/>
          <w:highlight w:val="none"/>
        </w:rPr>
      </w:pPr>
    </w:p>
    <w:p w14:paraId="3F4E128B">
      <w:pPr>
        <w:pStyle w:val="14"/>
        <w:spacing w:line="460" w:lineRule="exact"/>
        <w:rPr>
          <w:rFonts w:eastAsia="黑体"/>
          <w:color w:val="auto"/>
          <w:sz w:val="20"/>
          <w:szCs w:val="20"/>
          <w:highlight w:val="none"/>
        </w:rPr>
      </w:pPr>
    </w:p>
    <w:p w14:paraId="4CCE8D36">
      <w:pPr>
        <w:pStyle w:val="14"/>
        <w:spacing w:line="460" w:lineRule="exact"/>
        <w:rPr>
          <w:rFonts w:eastAsia="黑体"/>
          <w:color w:val="auto"/>
          <w:sz w:val="20"/>
          <w:szCs w:val="20"/>
          <w:highlight w:val="none"/>
        </w:rPr>
      </w:pPr>
    </w:p>
    <w:p w14:paraId="6DFD8FB8">
      <w:pPr>
        <w:pStyle w:val="14"/>
        <w:spacing w:line="460" w:lineRule="exact"/>
        <w:rPr>
          <w:rFonts w:eastAsia="黑体"/>
          <w:color w:val="auto"/>
          <w:sz w:val="20"/>
          <w:szCs w:val="20"/>
          <w:highlight w:val="none"/>
        </w:rPr>
      </w:pPr>
    </w:p>
    <w:p w14:paraId="026970E0">
      <w:pPr>
        <w:pStyle w:val="14"/>
        <w:spacing w:line="460" w:lineRule="exact"/>
        <w:rPr>
          <w:rFonts w:eastAsia="黑体"/>
          <w:color w:val="auto"/>
          <w:sz w:val="20"/>
          <w:szCs w:val="20"/>
          <w:highlight w:val="none"/>
        </w:rPr>
      </w:pPr>
    </w:p>
    <w:p w14:paraId="744FFD05">
      <w:pPr>
        <w:pStyle w:val="14"/>
        <w:spacing w:line="900" w:lineRule="exact"/>
        <w:jc w:val="center"/>
        <w:rPr>
          <w:rFonts w:eastAsia="黑体"/>
          <w:color w:val="auto"/>
          <w:sz w:val="72"/>
          <w:szCs w:val="72"/>
          <w:highlight w:val="none"/>
        </w:rPr>
      </w:pPr>
      <w:r>
        <w:rPr>
          <w:rFonts w:hint="eastAsia" w:eastAsia="黑体"/>
          <w:color w:val="auto"/>
          <w:sz w:val="72"/>
          <w:szCs w:val="72"/>
          <w:highlight w:val="none"/>
        </w:rPr>
        <w:t>竞 包</w:t>
      </w:r>
      <w:r>
        <w:rPr>
          <w:rFonts w:eastAsia="黑体"/>
          <w:color w:val="auto"/>
          <w:sz w:val="72"/>
          <w:szCs w:val="72"/>
          <w:highlight w:val="none"/>
        </w:rPr>
        <w:t xml:space="preserve"> 文 件</w:t>
      </w:r>
    </w:p>
    <w:p w14:paraId="1A3918E7">
      <w:pPr>
        <w:pStyle w:val="14"/>
        <w:rPr>
          <w:rFonts w:eastAsia="黑体"/>
          <w:color w:val="auto"/>
          <w:sz w:val="28"/>
          <w:szCs w:val="28"/>
          <w:highlight w:val="none"/>
        </w:rPr>
      </w:pPr>
    </w:p>
    <w:p w14:paraId="3FCFCC49">
      <w:pPr>
        <w:pStyle w:val="62"/>
        <w:jc w:val="center"/>
        <w:rPr>
          <w:color w:val="auto"/>
          <w:sz w:val="44"/>
          <w:szCs w:val="44"/>
          <w:highlight w:val="none"/>
        </w:rPr>
      </w:pPr>
      <w:bookmarkStart w:id="1038" w:name="_Toc29922"/>
      <w:bookmarkStart w:id="1039" w:name="_Toc19000"/>
      <w:bookmarkStart w:id="1040" w:name="_Toc8616"/>
      <w:bookmarkStart w:id="1041" w:name="_Toc23860"/>
      <w:bookmarkStart w:id="1042" w:name="_Toc17507"/>
      <w:bookmarkStart w:id="1043" w:name="_Toc13109"/>
      <w:r>
        <w:rPr>
          <w:rFonts w:hint="eastAsia"/>
          <w:color w:val="auto"/>
          <w:sz w:val="44"/>
          <w:szCs w:val="44"/>
          <w:highlight w:val="none"/>
        </w:rPr>
        <w:t>（技术文件）</w:t>
      </w:r>
      <w:bookmarkEnd w:id="1038"/>
      <w:bookmarkEnd w:id="1039"/>
      <w:bookmarkEnd w:id="1040"/>
      <w:bookmarkEnd w:id="1041"/>
      <w:bookmarkEnd w:id="1042"/>
      <w:bookmarkEnd w:id="1043"/>
    </w:p>
    <w:p w14:paraId="6C1F072A">
      <w:pPr>
        <w:pStyle w:val="14"/>
        <w:spacing w:line="460" w:lineRule="exact"/>
        <w:rPr>
          <w:rFonts w:eastAsia="黑体"/>
          <w:color w:val="auto"/>
          <w:sz w:val="28"/>
          <w:szCs w:val="28"/>
          <w:highlight w:val="none"/>
        </w:rPr>
      </w:pPr>
    </w:p>
    <w:p w14:paraId="7EA87151">
      <w:pPr>
        <w:pStyle w:val="14"/>
        <w:spacing w:line="460" w:lineRule="exact"/>
        <w:rPr>
          <w:rFonts w:eastAsia="黑体"/>
          <w:color w:val="auto"/>
          <w:sz w:val="28"/>
          <w:szCs w:val="28"/>
          <w:highlight w:val="none"/>
        </w:rPr>
      </w:pPr>
    </w:p>
    <w:p w14:paraId="5AAD0602">
      <w:pPr>
        <w:pStyle w:val="14"/>
        <w:spacing w:line="460" w:lineRule="exact"/>
        <w:rPr>
          <w:rFonts w:eastAsia="黑体"/>
          <w:color w:val="auto"/>
          <w:sz w:val="28"/>
          <w:szCs w:val="28"/>
          <w:highlight w:val="none"/>
        </w:rPr>
      </w:pPr>
    </w:p>
    <w:p w14:paraId="6BE5DF36">
      <w:pPr>
        <w:pStyle w:val="14"/>
        <w:spacing w:line="460" w:lineRule="exact"/>
        <w:rPr>
          <w:rFonts w:eastAsia="黑体"/>
          <w:color w:val="auto"/>
          <w:sz w:val="28"/>
          <w:szCs w:val="28"/>
          <w:highlight w:val="none"/>
        </w:rPr>
      </w:pPr>
    </w:p>
    <w:p w14:paraId="26B9B615">
      <w:pPr>
        <w:pStyle w:val="14"/>
        <w:spacing w:line="460" w:lineRule="exact"/>
        <w:rPr>
          <w:rFonts w:eastAsia="黑体"/>
          <w:color w:val="auto"/>
          <w:sz w:val="28"/>
          <w:szCs w:val="28"/>
          <w:highlight w:val="none"/>
        </w:rPr>
      </w:pPr>
    </w:p>
    <w:p w14:paraId="39AC93AA">
      <w:pPr>
        <w:pStyle w:val="14"/>
        <w:spacing w:line="460" w:lineRule="exact"/>
        <w:rPr>
          <w:rFonts w:eastAsia="黑体"/>
          <w:color w:val="auto"/>
          <w:sz w:val="28"/>
          <w:szCs w:val="28"/>
          <w:highlight w:val="none"/>
        </w:rPr>
      </w:pPr>
    </w:p>
    <w:p w14:paraId="4DAC3D40">
      <w:pPr>
        <w:pStyle w:val="14"/>
        <w:spacing w:line="480" w:lineRule="auto"/>
        <w:jc w:val="center"/>
        <w:rPr>
          <w:rFonts w:eastAsia="黑体"/>
          <w:color w:val="auto"/>
          <w:sz w:val="28"/>
          <w:szCs w:val="28"/>
          <w:highlight w:val="none"/>
          <w:u w:val="single"/>
        </w:rPr>
      </w:pPr>
      <w:r>
        <w:rPr>
          <w:rFonts w:hint="eastAsia" w:eastAsia="黑体"/>
          <w:color w:val="auto"/>
          <w:sz w:val="28"/>
          <w:szCs w:val="28"/>
          <w:highlight w:val="none"/>
        </w:rPr>
        <w:t>竞包</w:t>
      </w:r>
      <w:r>
        <w:rPr>
          <w:rFonts w:eastAsia="黑体"/>
          <w:color w:val="auto"/>
          <w:sz w:val="28"/>
          <w:szCs w:val="28"/>
          <w:highlight w:val="none"/>
        </w:rPr>
        <w:t>人：</w:t>
      </w:r>
      <w:r>
        <w:rPr>
          <w:rFonts w:eastAsia="黑体"/>
          <w:color w:val="auto"/>
          <w:sz w:val="28"/>
          <w:szCs w:val="28"/>
          <w:highlight w:val="none"/>
          <w:u w:val="single"/>
        </w:rPr>
        <w:t xml:space="preserve">                         </w:t>
      </w:r>
      <w:r>
        <w:rPr>
          <w:rFonts w:eastAsia="黑体"/>
          <w:color w:val="auto"/>
          <w:sz w:val="28"/>
          <w:szCs w:val="28"/>
          <w:highlight w:val="none"/>
        </w:rPr>
        <w:t>（</w:t>
      </w:r>
      <w:r>
        <w:rPr>
          <w:rFonts w:hint="eastAsia" w:eastAsia="黑体"/>
          <w:color w:val="auto"/>
          <w:sz w:val="28"/>
          <w:szCs w:val="28"/>
          <w:highlight w:val="none"/>
        </w:rPr>
        <w:t>盖单位印章</w:t>
      </w:r>
      <w:r>
        <w:rPr>
          <w:rFonts w:eastAsia="黑体"/>
          <w:color w:val="auto"/>
          <w:sz w:val="28"/>
          <w:szCs w:val="28"/>
          <w:highlight w:val="none"/>
        </w:rPr>
        <w:t>）</w:t>
      </w:r>
    </w:p>
    <w:p w14:paraId="78119568">
      <w:pPr>
        <w:pStyle w:val="14"/>
        <w:spacing w:line="480" w:lineRule="auto"/>
        <w:jc w:val="center"/>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0E3DCE73">
      <w:pPr>
        <w:pStyle w:val="14"/>
        <w:spacing w:line="400" w:lineRule="exact"/>
        <w:rPr>
          <w:color w:val="auto"/>
          <w:szCs w:val="28"/>
          <w:highlight w:val="none"/>
        </w:rPr>
      </w:pPr>
      <w:r>
        <w:rPr>
          <w:color w:val="auto"/>
          <w:szCs w:val="28"/>
          <w:highlight w:val="none"/>
        </w:rPr>
        <w:br w:type="page"/>
      </w:r>
    </w:p>
    <w:p w14:paraId="517CFAE1">
      <w:pPr>
        <w:pStyle w:val="62"/>
        <w:jc w:val="center"/>
        <w:rPr>
          <w:color w:val="auto"/>
          <w:sz w:val="30"/>
          <w:szCs w:val="30"/>
          <w:highlight w:val="none"/>
        </w:rPr>
      </w:pPr>
      <w:bookmarkStart w:id="1044" w:name="_Toc22455"/>
      <w:bookmarkStart w:id="1045" w:name="_Toc11440"/>
      <w:bookmarkStart w:id="1046" w:name="_Toc11044"/>
      <w:bookmarkStart w:id="1047" w:name="_Toc25161"/>
      <w:bookmarkStart w:id="1048" w:name="_Toc6883"/>
      <w:bookmarkStart w:id="1049" w:name="_Toc14538"/>
      <w:bookmarkStart w:id="1050" w:name="_Toc6563"/>
      <w:bookmarkStart w:id="1051" w:name="_Toc13983"/>
      <w:r>
        <w:rPr>
          <w:rFonts w:hint="eastAsia"/>
          <w:color w:val="auto"/>
          <w:sz w:val="30"/>
          <w:szCs w:val="30"/>
          <w:highlight w:val="none"/>
        </w:rPr>
        <w:t>目    录</w:t>
      </w:r>
      <w:bookmarkEnd w:id="1044"/>
      <w:bookmarkEnd w:id="1045"/>
      <w:bookmarkEnd w:id="1046"/>
      <w:bookmarkEnd w:id="1047"/>
      <w:bookmarkEnd w:id="1048"/>
      <w:bookmarkEnd w:id="1049"/>
      <w:bookmarkEnd w:id="1050"/>
      <w:bookmarkEnd w:id="1051"/>
    </w:p>
    <w:p w14:paraId="34AA6961">
      <w:pPr>
        <w:pStyle w:val="14"/>
        <w:spacing w:line="540" w:lineRule="exact"/>
        <w:rPr>
          <w:color w:val="auto"/>
          <w:highlight w:val="none"/>
        </w:rPr>
      </w:pPr>
    </w:p>
    <w:p w14:paraId="7D81E5DC">
      <w:pPr>
        <w:pStyle w:val="14"/>
        <w:spacing w:line="540" w:lineRule="exact"/>
        <w:rPr>
          <w:color w:val="auto"/>
          <w:highlight w:val="none"/>
        </w:rPr>
      </w:pPr>
      <w:r>
        <w:rPr>
          <w:rFonts w:hint="eastAsia"/>
          <w:color w:val="auto"/>
          <w:highlight w:val="none"/>
        </w:rPr>
        <w:t>九、技术建议书</w:t>
      </w:r>
    </w:p>
    <w:p w14:paraId="6B8ADAA9">
      <w:pPr>
        <w:pStyle w:val="14"/>
        <w:spacing w:line="440" w:lineRule="exact"/>
        <w:rPr>
          <w:rFonts w:eastAsia="黑体"/>
          <w:color w:val="auto"/>
          <w:sz w:val="20"/>
          <w:szCs w:val="20"/>
          <w:highlight w:val="none"/>
        </w:rPr>
      </w:pPr>
    </w:p>
    <w:p w14:paraId="7D169A02">
      <w:pPr>
        <w:pStyle w:val="14"/>
        <w:spacing w:line="400" w:lineRule="exact"/>
        <w:rPr>
          <w:color w:val="auto"/>
          <w:highlight w:val="none"/>
        </w:rPr>
      </w:pPr>
      <w:r>
        <w:rPr>
          <w:color w:val="auto"/>
          <w:highlight w:val="none"/>
        </w:rPr>
        <w:br w:type="page"/>
      </w:r>
    </w:p>
    <w:p w14:paraId="3E0F4ABA">
      <w:pPr>
        <w:pStyle w:val="62"/>
        <w:spacing w:before="0"/>
        <w:jc w:val="center"/>
        <w:rPr>
          <w:color w:val="auto"/>
          <w:sz w:val="30"/>
          <w:szCs w:val="30"/>
          <w:highlight w:val="none"/>
        </w:rPr>
      </w:pPr>
      <w:bookmarkStart w:id="1052" w:name="_Toc27527"/>
      <w:bookmarkStart w:id="1053" w:name="_Toc22693"/>
      <w:bookmarkStart w:id="1054" w:name="_Toc18085"/>
      <w:bookmarkStart w:id="1055" w:name="_Toc12832"/>
      <w:bookmarkStart w:id="1056" w:name="_Toc30941"/>
      <w:bookmarkStart w:id="1057" w:name="_Toc6470"/>
      <w:r>
        <w:rPr>
          <w:rFonts w:hint="eastAsia"/>
          <w:color w:val="auto"/>
          <w:sz w:val="30"/>
          <w:szCs w:val="30"/>
          <w:highlight w:val="none"/>
        </w:rPr>
        <w:t>九</w:t>
      </w:r>
      <w:r>
        <w:rPr>
          <w:color w:val="auto"/>
          <w:sz w:val="30"/>
          <w:szCs w:val="30"/>
          <w:highlight w:val="none"/>
        </w:rPr>
        <w:t>、</w:t>
      </w:r>
      <w:r>
        <w:rPr>
          <w:rFonts w:hint="eastAsia"/>
          <w:color w:val="auto"/>
          <w:sz w:val="30"/>
          <w:szCs w:val="30"/>
          <w:highlight w:val="none"/>
        </w:rPr>
        <w:t>技术建议书</w:t>
      </w:r>
      <w:bookmarkEnd w:id="1052"/>
      <w:bookmarkEnd w:id="1053"/>
      <w:bookmarkEnd w:id="1054"/>
      <w:bookmarkEnd w:id="1055"/>
      <w:bookmarkEnd w:id="1056"/>
      <w:bookmarkEnd w:id="1057"/>
    </w:p>
    <w:p w14:paraId="3357C206">
      <w:pPr>
        <w:pStyle w:val="14"/>
        <w:spacing w:line="440" w:lineRule="exact"/>
        <w:jc w:val="center"/>
        <w:rPr>
          <w:color w:val="auto"/>
          <w:szCs w:val="21"/>
          <w:highlight w:val="none"/>
        </w:rPr>
      </w:pPr>
      <w:r>
        <w:rPr>
          <w:rFonts w:hint="eastAsia"/>
          <w:color w:val="auto"/>
          <w:szCs w:val="21"/>
          <w:highlight w:val="none"/>
        </w:rPr>
        <w:t xml:space="preserve"> </w:t>
      </w:r>
    </w:p>
    <w:p w14:paraId="79BEBD46">
      <w:pPr>
        <w:pStyle w:val="14"/>
        <w:ind w:left="480"/>
        <w:rPr>
          <w:color w:val="auto"/>
          <w:szCs w:val="21"/>
          <w:highlight w:val="none"/>
        </w:rPr>
      </w:pPr>
      <w:r>
        <w:rPr>
          <w:color w:val="auto"/>
          <w:highlight w:val="none"/>
        </w:rPr>
        <w:t>主要内容包括</w:t>
      </w:r>
      <w:r>
        <w:rPr>
          <w:rFonts w:hint="eastAsia"/>
          <w:color w:val="auto"/>
          <w:highlight w:val="none"/>
        </w:rPr>
        <w:t>：</w:t>
      </w:r>
    </w:p>
    <w:p w14:paraId="0FB00853">
      <w:pPr>
        <w:pStyle w:val="14"/>
        <w:ind w:left="480"/>
        <w:rPr>
          <w:color w:val="auto"/>
          <w:szCs w:val="21"/>
          <w:highlight w:val="none"/>
        </w:rPr>
      </w:pPr>
      <w:r>
        <w:rPr>
          <w:rFonts w:hint="eastAsia"/>
          <w:color w:val="auto"/>
          <w:szCs w:val="21"/>
          <w:highlight w:val="none"/>
        </w:rPr>
        <w:t>1</w:t>
      </w:r>
      <w:r>
        <w:rPr>
          <w:rFonts w:hint="eastAsia" w:ascii="宋体" w:hAnsi="宋体"/>
          <w:color w:val="auto"/>
          <w:szCs w:val="20"/>
          <w:highlight w:val="none"/>
        </w:rPr>
        <w:t>.</w:t>
      </w:r>
      <w:r>
        <w:rPr>
          <w:rFonts w:hint="eastAsia"/>
          <w:color w:val="auto"/>
          <w:szCs w:val="21"/>
          <w:highlight w:val="none"/>
        </w:rPr>
        <w:t>对发包项目的理解、现状分析和总体设计思路</w:t>
      </w:r>
    </w:p>
    <w:p w14:paraId="4E621F00">
      <w:pPr>
        <w:pStyle w:val="14"/>
        <w:ind w:left="480"/>
        <w:rPr>
          <w:color w:val="auto"/>
          <w:szCs w:val="21"/>
          <w:highlight w:val="none"/>
        </w:rPr>
      </w:pPr>
      <w:r>
        <w:rPr>
          <w:rFonts w:hint="eastAsia"/>
          <w:color w:val="auto"/>
          <w:szCs w:val="21"/>
          <w:highlight w:val="none"/>
        </w:rPr>
        <w:t>2</w:t>
      </w:r>
      <w:r>
        <w:rPr>
          <w:rFonts w:hint="eastAsia" w:ascii="宋体" w:hAnsi="宋体"/>
          <w:color w:val="auto"/>
          <w:szCs w:val="20"/>
          <w:highlight w:val="none"/>
        </w:rPr>
        <w:t>.</w:t>
      </w:r>
      <w:r>
        <w:rPr>
          <w:rFonts w:hint="eastAsia"/>
          <w:color w:val="auto"/>
          <w:szCs w:val="21"/>
          <w:highlight w:val="none"/>
        </w:rPr>
        <w:t>发包项目设计的特点、关键技术问题的认识及其对策措施</w:t>
      </w:r>
    </w:p>
    <w:p w14:paraId="34FA030E">
      <w:pPr>
        <w:pStyle w:val="14"/>
        <w:ind w:left="480"/>
        <w:rPr>
          <w:color w:val="auto"/>
          <w:szCs w:val="21"/>
          <w:highlight w:val="none"/>
        </w:rPr>
      </w:pPr>
      <w:r>
        <w:rPr>
          <w:rFonts w:hint="eastAsia"/>
          <w:color w:val="auto"/>
          <w:szCs w:val="21"/>
          <w:highlight w:val="none"/>
        </w:rPr>
        <w:t>3</w:t>
      </w:r>
      <w:r>
        <w:rPr>
          <w:rFonts w:hint="eastAsia" w:ascii="宋体" w:hAnsi="宋体"/>
          <w:color w:val="auto"/>
          <w:szCs w:val="20"/>
          <w:highlight w:val="none"/>
        </w:rPr>
        <w:t>.</w:t>
      </w:r>
      <w:r>
        <w:rPr>
          <w:rFonts w:hint="eastAsia"/>
          <w:color w:val="auto"/>
          <w:szCs w:val="21"/>
          <w:highlight w:val="none"/>
        </w:rPr>
        <w:t>设计方案效果表现及图纸深化</w:t>
      </w:r>
    </w:p>
    <w:p w14:paraId="2A08D648">
      <w:pPr>
        <w:pStyle w:val="14"/>
        <w:ind w:left="480"/>
        <w:rPr>
          <w:color w:val="auto"/>
          <w:szCs w:val="21"/>
          <w:highlight w:val="none"/>
        </w:rPr>
      </w:pPr>
      <w:r>
        <w:rPr>
          <w:rFonts w:hint="eastAsia"/>
          <w:color w:val="auto"/>
          <w:szCs w:val="21"/>
          <w:highlight w:val="none"/>
        </w:rPr>
        <w:t>4</w:t>
      </w:r>
      <w:r>
        <w:rPr>
          <w:rFonts w:hint="eastAsia" w:ascii="宋体" w:hAnsi="宋体"/>
          <w:color w:val="auto"/>
          <w:szCs w:val="20"/>
          <w:highlight w:val="none"/>
        </w:rPr>
        <w:t>.</w:t>
      </w:r>
      <w:r>
        <w:rPr>
          <w:rFonts w:hint="eastAsia"/>
          <w:color w:val="auto"/>
          <w:szCs w:val="21"/>
          <w:highlight w:val="none"/>
        </w:rPr>
        <w:t>设计的质量保证措施、 进度保证措施、 安全保证措施</w:t>
      </w:r>
    </w:p>
    <w:p w14:paraId="066B0B37">
      <w:pPr>
        <w:pStyle w:val="14"/>
        <w:ind w:left="480"/>
        <w:rPr>
          <w:color w:val="auto"/>
          <w:szCs w:val="21"/>
          <w:highlight w:val="none"/>
        </w:rPr>
      </w:pPr>
      <w:r>
        <w:rPr>
          <w:rFonts w:hint="eastAsia"/>
          <w:color w:val="auto"/>
          <w:szCs w:val="21"/>
          <w:highlight w:val="none"/>
        </w:rPr>
        <w:t>5</w:t>
      </w:r>
      <w:r>
        <w:rPr>
          <w:rFonts w:hint="eastAsia" w:ascii="宋体" w:hAnsi="宋体"/>
          <w:color w:val="auto"/>
          <w:szCs w:val="20"/>
          <w:highlight w:val="none"/>
        </w:rPr>
        <w:t>.</w:t>
      </w:r>
      <w:r>
        <w:rPr>
          <w:rFonts w:hint="eastAsia"/>
          <w:color w:val="auto"/>
          <w:szCs w:val="21"/>
          <w:highlight w:val="none"/>
        </w:rPr>
        <w:t>设计工作量计划安排及后续服务的安排、保证措施</w:t>
      </w:r>
    </w:p>
    <w:p w14:paraId="3D264299">
      <w:pPr>
        <w:pStyle w:val="14"/>
        <w:ind w:left="480"/>
        <w:rPr>
          <w:color w:val="auto"/>
          <w:szCs w:val="21"/>
          <w:highlight w:val="none"/>
        </w:rPr>
      </w:pPr>
      <w:r>
        <w:rPr>
          <w:rFonts w:hint="eastAsia"/>
          <w:color w:val="auto"/>
          <w:szCs w:val="21"/>
          <w:highlight w:val="none"/>
        </w:rPr>
        <w:t>6</w:t>
      </w:r>
      <w:r>
        <w:rPr>
          <w:rFonts w:hint="eastAsia" w:ascii="宋体" w:hAnsi="宋体"/>
          <w:color w:val="auto"/>
          <w:szCs w:val="20"/>
          <w:highlight w:val="none"/>
        </w:rPr>
        <w:t>.</w:t>
      </w:r>
      <w:r>
        <w:rPr>
          <w:rFonts w:hint="eastAsia"/>
          <w:color w:val="auto"/>
          <w:szCs w:val="21"/>
          <w:highlight w:val="none"/>
        </w:rPr>
        <w:t>其他建议</w:t>
      </w:r>
    </w:p>
    <w:bookmarkEnd w:id="1037"/>
    <w:p w14:paraId="38C8FC87">
      <w:pPr>
        <w:pStyle w:val="14"/>
        <w:ind w:firstLine="420" w:firstLineChars="200"/>
        <w:rPr>
          <w:color w:val="auto"/>
          <w:szCs w:val="21"/>
          <w:highlight w:val="none"/>
        </w:rPr>
      </w:pPr>
      <w:r>
        <w:rPr>
          <w:rFonts w:hint="eastAsia"/>
          <w:color w:val="auto"/>
          <w:szCs w:val="21"/>
          <w:highlight w:val="none"/>
        </w:rPr>
        <w:t>（</w:t>
      </w:r>
      <w:bookmarkStart w:id="1058" w:name="_Hlk42508133"/>
      <w:r>
        <w:rPr>
          <w:rFonts w:hint="eastAsia"/>
          <w:color w:val="auto"/>
          <w:szCs w:val="21"/>
          <w:highlight w:val="none"/>
        </w:rPr>
        <w:t>附必要的图纸</w:t>
      </w:r>
      <w:bookmarkEnd w:id="1058"/>
      <w:r>
        <w:rPr>
          <w:rFonts w:hint="eastAsia"/>
          <w:color w:val="auto"/>
          <w:szCs w:val="21"/>
          <w:highlight w:val="none"/>
        </w:rPr>
        <w:t>）</w:t>
      </w:r>
    </w:p>
    <w:p w14:paraId="2292ABC5">
      <w:pPr>
        <w:pStyle w:val="14"/>
        <w:spacing w:line="400" w:lineRule="exact"/>
        <w:rPr>
          <w:color w:val="auto"/>
          <w:highlight w:val="none"/>
        </w:rPr>
      </w:pPr>
    </w:p>
    <w:p w14:paraId="522A9B29">
      <w:pPr>
        <w:pStyle w:val="14"/>
        <w:spacing w:line="400" w:lineRule="exact"/>
        <w:jc w:val="center"/>
        <w:rPr>
          <w:color w:val="auto"/>
          <w:highlight w:val="none"/>
        </w:rPr>
      </w:pPr>
      <w:r>
        <w:rPr>
          <w:color w:val="auto"/>
          <w:highlight w:val="none"/>
        </w:rPr>
        <w:br w:type="page"/>
      </w:r>
      <w:bookmarkStart w:id="1059" w:name="_Hlk42508278"/>
    </w:p>
    <w:p w14:paraId="4C13DCF4">
      <w:pPr>
        <w:pStyle w:val="14"/>
        <w:spacing w:line="400" w:lineRule="exact"/>
        <w:jc w:val="center"/>
        <w:rPr>
          <w:color w:val="auto"/>
          <w:highlight w:val="none"/>
        </w:rPr>
      </w:pPr>
    </w:p>
    <w:p w14:paraId="32126D4C">
      <w:pPr>
        <w:pStyle w:val="14"/>
        <w:spacing w:line="400" w:lineRule="exact"/>
        <w:jc w:val="center"/>
        <w:rPr>
          <w:rFonts w:ascii="黑体" w:hAnsi="黑体" w:eastAsia="黑体"/>
          <w:color w:val="auto"/>
          <w:sz w:val="36"/>
          <w:szCs w:val="36"/>
          <w:highlight w:val="none"/>
        </w:rPr>
      </w:pPr>
      <w:r>
        <w:rPr>
          <w:rFonts w:hint="eastAsia" w:eastAsia="黑体"/>
          <w:color w:val="auto"/>
          <w:sz w:val="36"/>
          <w:szCs w:val="36"/>
          <w:highlight w:val="none"/>
        </w:rPr>
        <w:t>浙江</w:t>
      </w:r>
      <w:r>
        <w:rPr>
          <w:rFonts w:ascii="黑体" w:hAnsi="黑体" w:eastAsia="黑体"/>
          <w:color w:val="auto"/>
          <w:sz w:val="36"/>
          <w:szCs w:val="36"/>
          <w:highlight w:val="none"/>
        </w:rPr>
        <w:t>省</w:t>
      </w:r>
    </w:p>
    <w:p w14:paraId="0F882C06">
      <w:pPr>
        <w:pStyle w:val="14"/>
        <w:spacing w:line="400" w:lineRule="exact"/>
        <w:jc w:val="center"/>
        <w:rPr>
          <w:rFonts w:ascii="黑体" w:hAnsi="黑体" w:eastAsia="黑体"/>
          <w:color w:val="auto"/>
          <w:sz w:val="36"/>
          <w:szCs w:val="36"/>
          <w:highlight w:val="none"/>
        </w:rPr>
      </w:pPr>
    </w:p>
    <w:p w14:paraId="407F8A7C">
      <w:pPr>
        <w:pStyle w:val="14"/>
        <w:jc w:val="center"/>
        <w:rPr>
          <w:rFonts w:eastAsia="黑体"/>
          <w:color w:val="auto"/>
          <w:sz w:val="36"/>
          <w:szCs w:val="36"/>
          <w:highlight w:val="none"/>
        </w:rPr>
      </w:pPr>
      <w:r>
        <w:rPr>
          <w:rFonts w:hint="eastAsia" w:eastAsia="黑体"/>
          <w:color w:val="auto"/>
          <w:sz w:val="36"/>
          <w:szCs w:val="36"/>
          <w:highlight w:val="none"/>
          <w:u w:val="single"/>
        </w:rPr>
        <w:t xml:space="preserve">            </w:t>
      </w:r>
      <w:r>
        <w:rPr>
          <w:rFonts w:eastAsia="黑体"/>
          <w:color w:val="auto"/>
          <w:sz w:val="36"/>
          <w:szCs w:val="36"/>
          <w:highlight w:val="none"/>
        </w:rPr>
        <w:t>（项目名称）</w:t>
      </w:r>
      <w:r>
        <w:rPr>
          <w:rFonts w:eastAsia="黑体"/>
          <w:color w:val="auto"/>
          <w:sz w:val="36"/>
          <w:szCs w:val="36"/>
          <w:highlight w:val="none"/>
          <w:u w:val="single"/>
        </w:rPr>
        <w:t xml:space="preserve">   </w:t>
      </w:r>
      <w:r>
        <w:rPr>
          <w:rFonts w:eastAsia="黑体"/>
          <w:color w:val="auto"/>
          <w:sz w:val="36"/>
          <w:szCs w:val="36"/>
          <w:highlight w:val="none"/>
        </w:rPr>
        <w:t>标段</w:t>
      </w:r>
      <w:r>
        <w:rPr>
          <w:rFonts w:hint="eastAsia" w:eastAsia="黑体"/>
          <w:color w:val="auto"/>
          <w:sz w:val="36"/>
          <w:szCs w:val="36"/>
          <w:highlight w:val="none"/>
        </w:rPr>
        <w:t>设计发包</w:t>
      </w:r>
    </w:p>
    <w:p w14:paraId="174AA6BC">
      <w:pPr>
        <w:pStyle w:val="14"/>
        <w:spacing w:line="460" w:lineRule="exact"/>
        <w:rPr>
          <w:rFonts w:eastAsia="黑体"/>
          <w:color w:val="auto"/>
          <w:sz w:val="20"/>
          <w:szCs w:val="20"/>
          <w:highlight w:val="none"/>
        </w:rPr>
      </w:pPr>
    </w:p>
    <w:p w14:paraId="5A93766E">
      <w:pPr>
        <w:pStyle w:val="14"/>
        <w:spacing w:line="460" w:lineRule="exact"/>
        <w:rPr>
          <w:rFonts w:eastAsia="黑体"/>
          <w:color w:val="auto"/>
          <w:sz w:val="20"/>
          <w:szCs w:val="20"/>
          <w:highlight w:val="none"/>
        </w:rPr>
      </w:pPr>
    </w:p>
    <w:p w14:paraId="006D220D">
      <w:pPr>
        <w:pStyle w:val="14"/>
        <w:spacing w:line="460" w:lineRule="exact"/>
        <w:rPr>
          <w:rFonts w:eastAsia="黑体"/>
          <w:color w:val="auto"/>
          <w:sz w:val="20"/>
          <w:szCs w:val="20"/>
          <w:highlight w:val="none"/>
        </w:rPr>
      </w:pPr>
    </w:p>
    <w:p w14:paraId="2A149A67">
      <w:pPr>
        <w:pStyle w:val="14"/>
        <w:spacing w:line="460" w:lineRule="exact"/>
        <w:rPr>
          <w:rFonts w:eastAsia="黑体"/>
          <w:color w:val="auto"/>
          <w:sz w:val="20"/>
          <w:szCs w:val="20"/>
          <w:highlight w:val="none"/>
        </w:rPr>
      </w:pPr>
    </w:p>
    <w:p w14:paraId="2FBDCFA0">
      <w:pPr>
        <w:pStyle w:val="14"/>
        <w:spacing w:line="460" w:lineRule="exact"/>
        <w:rPr>
          <w:rFonts w:eastAsia="黑体"/>
          <w:color w:val="auto"/>
          <w:sz w:val="20"/>
          <w:szCs w:val="20"/>
          <w:highlight w:val="none"/>
        </w:rPr>
      </w:pPr>
    </w:p>
    <w:p w14:paraId="3CF11BE4">
      <w:pPr>
        <w:pStyle w:val="14"/>
        <w:spacing w:line="900" w:lineRule="exact"/>
        <w:jc w:val="center"/>
        <w:rPr>
          <w:rFonts w:eastAsia="黑体"/>
          <w:color w:val="auto"/>
          <w:sz w:val="72"/>
          <w:szCs w:val="72"/>
          <w:highlight w:val="none"/>
        </w:rPr>
      </w:pPr>
      <w:r>
        <w:rPr>
          <w:rFonts w:hint="eastAsia" w:eastAsia="黑体"/>
          <w:color w:val="auto"/>
          <w:sz w:val="72"/>
          <w:szCs w:val="72"/>
          <w:highlight w:val="none"/>
        </w:rPr>
        <w:t>竞 包</w:t>
      </w:r>
      <w:r>
        <w:rPr>
          <w:rFonts w:eastAsia="黑体"/>
          <w:color w:val="auto"/>
          <w:sz w:val="72"/>
          <w:szCs w:val="72"/>
          <w:highlight w:val="none"/>
        </w:rPr>
        <w:t xml:space="preserve"> 文 件</w:t>
      </w:r>
    </w:p>
    <w:p w14:paraId="300B5761">
      <w:pPr>
        <w:pStyle w:val="14"/>
        <w:rPr>
          <w:rFonts w:eastAsia="黑体"/>
          <w:color w:val="auto"/>
          <w:sz w:val="28"/>
          <w:szCs w:val="28"/>
          <w:highlight w:val="none"/>
        </w:rPr>
      </w:pPr>
    </w:p>
    <w:p w14:paraId="097AFCBC">
      <w:pPr>
        <w:pStyle w:val="62"/>
        <w:jc w:val="center"/>
        <w:rPr>
          <w:color w:val="auto"/>
          <w:sz w:val="44"/>
          <w:szCs w:val="44"/>
          <w:highlight w:val="none"/>
        </w:rPr>
      </w:pPr>
      <w:bookmarkStart w:id="1060" w:name="_Toc29781"/>
      <w:bookmarkStart w:id="1061" w:name="_Toc31291"/>
      <w:bookmarkStart w:id="1062" w:name="_Toc4592"/>
      <w:bookmarkStart w:id="1063" w:name="_Toc348"/>
      <w:bookmarkStart w:id="1064" w:name="_Toc17896"/>
      <w:bookmarkStart w:id="1065" w:name="_Toc6915"/>
      <w:r>
        <w:rPr>
          <w:rFonts w:hint="eastAsia"/>
          <w:color w:val="auto"/>
          <w:sz w:val="44"/>
          <w:szCs w:val="44"/>
          <w:highlight w:val="none"/>
        </w:rPr>
        <w:t>（报价文件）</w:t>
      </w:r>
      <w:bookmarkEnd w:id="1060"/>
      <w:bookmarkEnd w:id="1061"/>
      <w:bookmarkEnd w:id="1062"/>
      <w:bookmarkEnd w:id="1063"/>
      <w:bookmarkEnd w:id="1064"/>
      <w:bookmarkEnd w:id="1065"/>
    </w:p>
    <w:p w14:paraId="2602E87B">
      <w:pPr>
        <w:pStyle w:val="14"/>
        <w:spacing w:line="460" w:lineRule="exact"/>
        <w:rPr>
          <w:rFonts w:eastAsia="黑体"/>
          <w:color w:val="auto"/>
          <w:sz w:val="28"/>
          <w:szCs w:val="28"/>
          <w:highlight w:val="none"/>
        </w:rPr>
      </w:pPr>
    </w:p>
    <w:p w14:paraId="70EB614E">
      <w:pPr>
        <w:pStyle w:val="14"/>
        <w:spacing w:line="460" w:lineRule="exact"/>
        <w:rPr>
          <w:rFonts w:eastAsia="黑体"/>
          <w:color w:val="auto"/>
          <w:sz w:val="28"/>
          <w:szCs w:val="28"/>
          <w:highlight w:val="none"/>
        </w:rPr>
      </w:pPr>
    </w:p>
    <w:p w14:paraId="25435EF4">
      <w:pPr>
        <w:pStyle w:val="14"/>
        <w:spacing w:line="460" w:lineRule="exact"/>
        <w:rPr>
          <w:rFonts w:eastAsia="黑体"/>
          <w:color w:val="auto"/>
          <w:sz w:val="28"/>
          <w:szCs w:val="28"/>
          <w:highlight w:val="none"/>
        </w:rPr>
      </w:pPr>
    </w:p>
    <w:p w14:paraId="68BE73F3">
      <w:pPr>
        <w:pStyle w:val="14"/>
        <w:spacing w:line="460" w:lineRule="exact"/>
        <w:rPr>
          <w:rFonts w:eastAsia="黑体"/>
          <w:color w:val="auto"/>
          <w:sz w:val="28"/>
          <w:szCs w:val="28"/>
          <w:highlight w:val="none"/>
        </w:rPr>
      </w:pPr>
    </w:p>
    <w:p w14:paraId="4062697A">
      <w:pPr>
        <w:pStyle w:val="14"/>
        <w:spacing w:line="460" w:lineRule="exact"/>
        <w:rPr>
          <w:rFonts w:eastAsia="黑体"/>
          <w:color w:val="auto"/>
          <w:sz w:val="28"/>
          <w:szCs w:val="28"/>
          <w:highlight w:val="none"/>
        </w:rPr>
      </w:pPr>
    </w:p>
    <w:p w14:paraId="0F1A98B1">
      <w:pPr>
        <w:pStyle w:val="14"/>
        <w:spacing w:line="460" w:lineRule="exact"/>
        <w:rPr>
          <w:rFonts w:eastAsia="黑体"/>
          <w:color w:val="auto"/>
          <w:sz w:val="28"/>
          <w:szCs w:val="28"/>
          <w:highlight w:val="none"/>
        </w:rPr>
      </w:pPr>
    </w:p>
    <w:p w14:paraId="42357C23">
      <w:pPr>
        <w:pStyle w:val="14"/>
        <w:spacing w:line="480" w:lineRule="auto"/>
        <w:jc w:val="center"/>
        <w:rPr>
          <w:rFonts w:eastAsia="黑体"/>
          <w:color w:val="auto"/>
          <w:sz w:val="28"/>
          <w:szCs w:val="28"/>
          <w:highlight w:val="none"/>
          <w:u w:val="single"/>
        </w:rPr>
      </w:pPr>
      <w:r>
        <w:rPr>
          <w:rFonts w:hint="eastAsia" w:eastAsia="黑体"/>
          <w:color w:val="auto"/>
          <w:sz w:val="28"/>
          <w:szCs w:val="28"/>
          <w:highlight w:val="none"/>
        </w:rPr>
        <w:t>竞包</w:t>
      </w:r>
      <w:r>
        <w:rPr>
          <w:rFonts w:eastAsia="黑体"/>
          <w:color w:val="auto"/>
          <w:sz w:val="28"/>
          <w:szCs w:val="28"/>
          <w:highlight w:val="none"/>
        </w:rPr>
        <w:t>人：</w:t>
      </w:r>
      <w:r>
        <w:rPr>
          <w:rFonts w:eastAsia="黑体"/>
          <w:color w:val="auto"/>
          <w:sz w:val="28"/>
          <w:szCs w:val="28"/>
          <w:highlight w:val="none"/>
          <w:u w:val="single"/>
        </w:rPr>
        <w:t xml:space="preserve">                         </w:t>
      </w:r>
      <w:r>
        <w:rPr>
          <w:rFonts w:eastAsia="黑体"/>
          <w:color w:val="auto"/>
          <w:sz w:val="28"/>
          <w:szCs w:val="28"/>
          <w:highlight w:val="none"/>
        </w:rPr>
        <w:t>（</w:t>
      </w:r>
      <w:r>
        <w:rPr>
          <w:rFonts w:hint="eastAsia" w:eastAsia="黑体"/>
          <w:color w:val="auto"/>
          <w:sz w:val="28"/>
          <w:szCs w:val="28"/>
          <w:highlight w:val="none"/>
        </w:rPr>
        <w:t>盖单位印章</w:t>
      </w:r>
      <w:r>
        <w:rPr>
          <w:rFonts w:eastAsia="黑体"/>
          <w:color w:val="auto"/>
          <w:sz w:val="28"/>
          <w:szCs w:val="28"/>
          <w:highlight w:val="none"/>
        </w:rPr>
        <w:t>）</w:t>
      </w:r>
    </w:p>
    <w:p w14:paraId="5CBCE16E">
      <w:pPr>
        <w:pStyle w:val="14"/>
        <w:spacing w:line="480" w:lineRule="auto"/>
        <w:jc w:val="center"/>
        <w:rPr>
          <w:rFonts w:eastAsia="黑体"/>
          <w:color w:val="auto"/>
          <w:sz w:val="28"/>
          <w:szCs w:val="28"/>
          <w:highlight w:val="none"/>
        </w:rPr>
      </w:pPr>
      <w:r>
        <w:rPr>
          <w:rFonts w:eastAsia="黑体"/>
          <w:color w:val="auto"/>
          <w:sz w:val="28"/>
          <w:szCs w:val="28"/>
          <w:highlight w:val="none"/>
          <w:u w:val="single"/>
        </w:rPr>
        <w:t xml:space="preserve">        </w:t>
      </w:r>
      <w:r>
        <w:rPr>
          <w:rFonts w:eastAsia="黑体"/>
          <w:color w:val="auto"/>
          <w:sz w:val="28"/>
          <w:szCs w:val="28"/>
          <w:highlight w:val="none"/>
        </w:rPr>
        <w:t>年</w:t>
      </w:r>
      <w:r>
        <w:rPr>
          <w:rFonts w:eastAsia="黑体"/>
          <w:color w:val="auto"/>
          <w:sz w:val="28"/>
          <w:szCs w:val="28"/>
          <w:highlight w:val="none"/>
          <w:u w:val="single"/>
        </w:rPr>
        <w:t xml:space="preserve">        </w:t>
      </w:r>
      <w:r>
        <w:rPr>
          <w:rFonts w:eastAsia="黑体"/>
          <w:color w:val="auto"/>
          <w:sz w:val="28"/>
          <w:szCs w:val="28"/>
          <w:highlight w:val="none"/>
        </w:rPr>
        <w:t>月</w:t>
      </w:r>
      <w:r>
        <w:rPr>
          <w:rFonts w:eastAsia="黑体"/>
          <w:color w:val="auto"/>
          <w:sz w:val="28"/>
          <w:szCs w:val="28"/>
          <w:highlight w:val="none"/>
          <w:u w:val="single"/>
        </w:rPr>
        <w:t xml:space="preserve">        </w:t>
      </w:r>
      <w:r>
        <w:rPr>
          <w:rFonts w:eastAsia="黑体"/>
          <w:color w:val="auto"/>
          <w:sz w:val="28"/>
          <w:szCs w:val="28"/>
          <w:highlight w:val="none"/>
        </w:rPr>
        <w:t>日</w:t>
      </w:r>
    </w:p>
    <w:p w14:paraId="1CFB2317">
      <w:pPr>
        <w:pStyle w:val="62"/>
        <w:jc w:val="center"/>
        <w:rPr>
          <w:color w:val="auto"/>
          <w:sz w:val="30"/>
          <w:szCs w:val="30"/>
          <w:highlight w:val="none"/>
        </w:rPr>
      </w:pPr>
      <w:r>
        <w:rPr>
          <w:color w:val="auto"/>
          <w:sz w:val="30"/>
          <w:szCs w:val="30"/>
          <w:highlight w:val="none"/>
        </w:rPr>
        <w:br w:type="page"/>
      </w:r>
      <w:bookmarkStart w:id="1066" w:name="_Toc32009"/>
      <w:bookmarkStart w:id="1067" w:name="_Toc32312"/>
      <w:bookmarkStart w:id="1068" w:name="_Toc31659"/>
      <w:bookmarkStart w:id="1069" w:name="_Toc3136"/>
      <w:bookmarkStart w:id="1070" w:name="_Toc6189"/>
      <w:bookmarkStart w:id="1071" w:name="_Toc25878"/>
      <w:r>
        <w:rPr>
          <w:rFonts w:hint="eastAsia"/>
          <w:color w:val="auto"/>
          <w:sz w:val="30"/>
          <w:szCs w:val="30"/>
          <w:highlight w:val="none"/>
        </w:rPr>
        <w:t>目    录</w:t>
      </w:r>
      <w:bookmarkEnd w:id="1066"/>
      <w:bookmarkEnd w:id="1067"/>
      <w:bookmarkEnd w:id="1068"/>
      <w:bookmarkEnd w:id="1069"/>
      <w:bookmarkEnd w:id="1070"/>
      <w:bookmarkEnd w:id="1071"/>
    </w:p>
    <w:p w14:paraId="1BE77D64">
      <w:pPr>
        <w:pStyle w:val="14"/>
        <w:spacing w:line="540" w:lineRule="exact"/>
        <w:rPr>
          <w:color w:val="auto"/>
          <w:highlight w:val="none"/>
        </w:rPr>
      </w:pPr>
    </w:p>
    <w:p w14:paraId="15200E20">
      <w:pPr>
        <w:pStyle w:val="14"/>
        <w:spacing w:line="480" w:lineRule="auto"/>
        <w:rPr>
          <w:color w:val="auto"/>
          <w:highlight w:val="none"/>
        </w:rPr>
      </w:pPr>
      <w:r>
        <w:rPr>
          <w:rFonts w:hint="eastAsia"/>
          <w:color w:val="auto"/>
          <w:highlight w:val="none"/>
        </w:rPr>
        <w:t>一、竞包函</w:t>
      </w:r>
    </w:p>
    <w:p w14:paraId="4FD536B4">
      <w:pPr>
        <w:pStyle w:val="14"/>
        <w:spacing w:line="480" w:lineRule="auto"/>
        <w:rPr>
          <w:color w:val="auto"/>
          <w:highlight w:val="none"/>
        </w:rPr>
      </w:pPr>
      <w:r>
        <w:rPr>
          <w:rFonts w:hint="eastAsia"/>
          <w:color w:val="auto"/>
          <w:highlight w:val="none"/>
        </w:rPr>
        <w:t>二、设计费用清单</w:t>
      </w:r>
    </w:p>
    <w:bookmarkEnd w:id="1059"/>
    <w:p w14:paraId="6B6E48B2">
      <w:pPr>
        <w:pStyle w:val="14"/>
        <w:spacing w:line="480" w:lineRule="auto"/>
        <w:rPr>
          <w:rFonts w:eastAsia="黑体"/>
          <w:color w:val="auto"/>
          <w:sz w:val="28"/>
          <w:szCs w:val="28"/>
          <w:highlight w:val="none"/>
        </w:rPr>
      </w:pPr>
      <w:r>
        <w:rPr>
          <w:rFonts w:eastAsia="黑体"/>
          <w:color w:val="auto"/>
          <w:sz w:val="28"/>
          <w:szCs w:val="28"/>
          <w:highlight w:val="none"/>
        </w:rPr>
        <w:br w:type="page"/>
      </w:r>
    </w:p>
    <w:p w14:paraId="27B9C054">
      <w:pPr>
        <w:pStyle w:val="62"/>
        <w:spacing w:before="0"/>
        <w:jc w:val="center"/>
        <w:rPr>
          <w:color w:val="auto"/>
          <w:sz w:val="30"/>
          <w:szCs w:val="30"/>
          <w:highlight w:val="none"/>
        </w:rPr>
      </w:pPr>
      <w:bookmarkStart w:id="1072" w:name="_Toc31774"/>
      <w:bookmarkStart w:id="1073" w:name="_Toc11871"/>
      <w:bookmarkStart w:id="1074" w:name="_Toc13385"/>
      <w:bookmarkStart w:id="1075" w:name="_Toc32415"/>
      <w:bookmarkStart w:id="1076" w:name="_Toc2210"/>
      <w:bookmarkStart w:id="1077" w:name="_Toc14798"/>
      <w:r>
        <w:rPr>
          <w:rFonts w:hint="eastAsia"/>
          <w:color w:val="auto"/>
          <w:sz w:val="30"/>
          <w:szCs w:val="30"/>
          <w:highlight w:val="none"/>
        </w:rPr>
        <w:t>一、竞包函</w:t>
      </w:r>
      <w:bookmarkEnd w:id="1072"/>
      <w:bookmarkEnd w:id="1073"/>
      <w:bookmarkEnd w:id="1074"/>
      <w:bookmarkEnd w:id="1075"/>
      <w:bookmarkEnd w:id="1076"/>
      <w:bookmarkEnd w:id="1077"/>
    </w:p>
    <w:p w14:paraId="2DB350B4">
      <w:pPr>
        <w:pStyle w:val="14"/>
        <w:spacing w:line="480" w:lineRule="auto"/>
        <w:rPr>
          <w:color w:val="auto"/>
          <w:szCs w:val="21"/>
          <w:highlight w:val="none"/>
        </w:rPr>
      </w:pPr>
    </w:p>
    <w:p w14:paraId="39F2FA29">
      <w:pPr>
        <w:pStyle w:val="14"/>
        <w:spacing w:line="480" w:lineRule="auto"/>
        <w:ind w:left="0" w:firstLine="0"/>
        <w:rPr>
          <w:rFonts w:ascii="宋体" w:hAnsi="宋体"/>
          <w:color w:val="auto"/>
          <w:szCs w:val="21"/>
          <w:highlight w:val="none"/>
        </w:rPr>
      </w:pP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（发包人名称）：</w:t>
      </w:r>
    </w:p>
    <w:p w14:paraId="09A8DA44">
      <w:pPr>
        <w:pStyle w:val="14"/>
        <w:spacing w:line="480" w:lineRule="auto"/>
        <w:ind w:left="0" w:firstLine="420" w:firstLineChars="2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我方已</w:t>
      </w:r>
      <w:r>
        <w:rPr>
          <w:rFonts w:hint="eastAsia" w:ascii="宋体" w:hAnsi="宋体"/>
          <w:color w:val="auto"/>
          <w:szCs w:val="21"/>
          <w:highlight w:val="none"/>
        </w:rPr>
        <w:t>仔细研究</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（项目名称）</w:t>
      </w:r>
      <w:r>
        <w:rPr>
          <w:rFonts w:hint="eastAsia" w:ascii="宋体" w:hAnsi="宋体"/>
          <w:color w:val="auto"/>
          <w:szCs w:val="21"/>
          <w:highlight w:val="none"/>
          <w:u w:val="single"/>
        </w:rPr>
        <w:t xml:space="preserve">         </w:t>
      </w:r>
      <w:r>
        <w:rPr>
          <w:rFonts w:hint="eastAsia" w:ascii="宋体" w:hAnsi="宋体"/>
          <w:color w:val="auto"/>
          <w:szCs w:val="21"/>
          <w:highlight w:val="none"/>
        </w:rPr>
        <w:t>标段设计发包文件的全部内容（含补遗书第</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号至第</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号），在</w:t>
      </w:r>
      <w:r>
        <w:rPr>
          <w:rFonts w:ascii="宋体" w:hAnsi="宋体"/>
          <w:color w:val="auto"/>
          <w:szCs w:val="21"/>
          <w:highlight w:val="none"/>
        </w:rPr>
        <w:t>考察工程现场后，愿意以人民币</w:t>
      </w:r>
      <w:r>
        <w:rPr>
          <w:rFonts w:hint="eastAsia" w:ascii="宋体" w:hAnsi="宋体"/>
          <w:color w:val="auto"/>
          <w:szCs w:val="21"/>
          <w:highlight w:val="none"/>
        </w:rPr>
        <w:t>（大写）</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元</w:t>
      </w:r>
      <w:r>
        <w:rPr>
          <w:color w:val="auto"/>
          <w:sz w:val="24"/>
          <w:highlight w:val="none"/>
        </w:rPr>
        <w:t>（</w:t>
      </w:r>
      <w:r>
        <w:rPr>
          <w:rFonts w:eastAsia="Times New Roman"/>
          <w:color w:val="auto"/>
          <w:sz w:val="24"/>
          <w:highlight w:val="none"/>
        </w:rPr>
        <w:t>¥</w:t>
      </w:r>
      <w:r>
        <w:rPr>
          <w:rFonts w:eastAsia="Times New Roman"/>
          <w:color w:val="auto"/>
          <w:sz w:val="24"/>
          <w:highlight w:val="none"/>
          <w:u w:val="single"/>
        </w:rPr>
        <w:t xml:space="preserve"> </w:t>
      </w:r>
      <w:r>
        <w:rPr>
          <w:rFonts w:hint="eastAsia"/>
          <w:color w:val="auto"/>
          <w:sz w:val="24"/>
          <w:highlight w:val="none"/>
          <w:u w:val="single"/>
        </w:rPr>
        <w:t xml:space="preserve">       </w:t>
      </w:r>
      <w:r>
        <w:rPr>
          <w:rFonts w:eastAsia="Times New Roman"/>
          <w:color w:val="auto"/>
          <w:sz w:val="24"/>
          <w:highlight w:val="none"/>
          <w:u w:val="single"/>
        </w:rPr>
        <w:tab/>
      </w:r>
      <w:r>
        <w:rPr>
          <w:color w:val="auto"/>
          <w:sz w:val="24"/>
          <w:highlight w:val="none"/>
        </w:rPr>
        <w:t>）</w:t>
      </w:r>
      <w:r>
        <w:rPr>
          <w:rFonts w:ascii="宋体" w:hAnsi="宋体"/>
          <w:color w:val="auto"/>
          <w:szCs w:val="21"/>
          <w:highlight w:val="none"/>
        </w:rPr>
        <w:t>的</w:t>
      </w:r>
      <w:r>
        <w:rPr>
          <w:rFonts w:hint="eastAsia" w:ascii="宋体" w:hAnsi="宋体"/>
          <w:color w:val="auto"/>
          <w:szCs w:val="21"/>
          <w:highlight w:val="none"/>
        </w:rPr>
        <w:t>竞包</w:t>
      </w:r>
      <w:r>
        <w:rPr>
          <w:rFonts w:ascii="宋体" w:hAnsi="宋体"/>
          <w:color w:val="auto"/>
          <w:szCs w:val="21"/>
          <w:highlight w:val="none"/>
        </w:rPr>
        <w:t>总报价</w:t>
      </w:r>
      <w:r>
        <w:rPr>
          <w:rFonts w:hint="eastAsia" w:ascii="宋体" w:hAnsi="宋体"/>
          <w:color w:val="auto"/>
          <w:szCs w:val="21"/>
          <w:highlight w:val="none"/>
        </w:rPr>
        <w:t>（或</w:t>
      </w:r>
      <w:r>
        <w:rPr>
          <w:rFonts w:ascii="宋体" w:hAnsi="宋体"/>
          <w:color w:val="auto"/>
          <w:szCs w:val="21"/>
          <w:highlight w:val="none"/>
        </w:rPr>
        <w:t>根据</w:t>
      </w:r>
      <w:r>
        <w:rPr>
          <w:rFonts w:hint="eastAsia" w:ascii="宋体" w:hAnsi="宋体"/>
          <w:color w:val="auto"/>
          <w:szCs w:val="21"/>
          <w:highlight w:val="none"/>
        </w:rPr>
        <w:t>发包</w:t>
      </w:r>
      <w:r>
        <w:rPr>
          <w:rFonts w:ascii="宋体" w:hAnsi="宋体"/>
          <w:color w:val="auto"/>
          <w:szCs w:val="21"/>
          <w:highlight w:val="none"/>
        </w:rPr>
        <w:t>文件规定修正核实后确定的另一金额</w:t>
      </w:r>
      <w:r>
        <w:rPr>
          <w:rFonts w:hint="eastAsia" w:ascii="宋体" w:hAnsi="宋体"/>
          <w:color w:val="auto"/>
          <w:szCs w:val="21"/>
          <w:highlight w:val="none"/>
        </w:rPr>
        <w:t>），</w:t>
      </w:r>
      <w:r>
        <w:rPr>
          <w:rFonts w:ascii="宋体" w:hAnsi="宋体"/>
          <w:color w:val="auto"/>
          <w:szCs w:val="21"/>
          <w:highlight w:val="none"/>
        </w:rPr>
        <w:t>按合同约定完成</w:t>
      </w:r>
      <w:r>
        <w:rPr>
          <w:rFonts w:hint="eastAsia" w:ascii="宋体" w:hAnsi="宋体"/>
          <w:color w:val="auto"/>
          <w:szCs w:val="21"/>
          <w:highlight w:val="none"/>
        </w:rPr>
        <w:t>设计</w:t>
      </w:r>
      <w:r>
        <w:rPr>
          <w:rFonts w:ascii="宋体" w:hAnsi="宋体"/>
          <w:color w:val="auto"/>
          <w:szCs w:val="21"/>
          <w:highlight w:val="none"/>
        </w:rPr>
        <w:t>工作。</w:t>
      </w:r>
    </w:p>
    <w:p w14:paraId="09542E75">
      <w:pPr>
        <w:pStyle w:val="14"/>
        <w:spacing w:line="480" w:lineRule="auto"/>
        <w:ind w:left="0" w:firstLine="420" w:firstLineChars="200"/>
        <w:rPr>
          <w:rFonts w:ascii="宋体" w:hAnsi="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在合同协议书正式签署生效之前，本</w:t>
      </w:r>
      <w:r>
        <w:rPr>
          <w:rFonts w:hint="eastAsia" w:ascii="宋体" w:hAnsi="宋体"/>
          <w:color w:val="auto"/>
          <w:szCs w:val="21"/>
          <w:highlight w:val="none"/>
        </w:rPr>
        <w:t>竞包</w:t>
      </w:r>
      <w:r>
        <w:rPr>
          <w:rFonts w:ascii="宋体" w:hAnsi="宋体"/>
          <w:color w:val="auto"/>
          <w:szCs w:val="21"/>
          <w:highlight w:val="none"/>
        </w:rPr>
        <w:t>函</w:t>
      </w:r>
      <w:r>
        <w:rPr>
          <w:rFonts w:hint="eastAsia" w:ascii="宋体" w:hAnsi="宋体"/>
          <w:color w:val="auto"/>
          <w:szCs w:val="21"/>
          <w:highlight w:val="none"/>
        </w:rPr>
        <w:t>连</w:t>
      </w:r>
      <w:r>
        <w:rPr>
          <w:rFonts w:ascii="宋体" w:hAnsi="宋体"/>
          <w:color w:val="auto"/>
          <w:szCs w:val="21"/>
          <w:highlight w:val="none"/>
        </w:rPr>
        <w:t>同你方的</w:t>
      </w:r>
      <w:r>
        <w:rPr>
          <w:rFonts w:hint="eastAsia" w:ascii="宋体" w:hAnsi="宋体"/>
          <w:color w:val="auto"/>
          <w:szCs w:val="21"/>
          <w:highlight w:val="none"/>
        </w:rPr>
        <w:t>中包</w:t>
      </w:r>
      <w:r>
        <w:rPr>
          <w:rFonts w:ascii="宋体" w:hAnsi="宋体"/>
          <w:color w:val="auto"/>
          <w:szCs w:val="21"/>
          <w:highlight w:val="none"/>
        </w:rPr>
        <w:t>通知书将</w:t>
      </w:r>
      <w:r>
        <w:rPr>
          <w:rFonts w:hint="eastAsia" w:ascii="宋体" w:hAnsi="宋体"/>
          <w:color w:val="auto"/>
          <w:szCs w:val="21"/>
          <w:highlight w:val="none"/>
        </w:rPr>
        <w:t>构</w:t>
      </w:r>
      <w:r>
        <w:rPr>
          <w:rFonts w:ascii="宋体" w:hAnsi="宋体"/>
          <w:color w:val="auto"/>
          <w:szCs w:val="21"/>
          <w:highlight w:val="none"/>
        </w:rPr>
        <w:t>成我们双方之间共同遵守的文件，对双方具有约束力。</w:t>
      </w:r>
    </w:p>
    <w:p w14:paraId="23F1BB89">
      <w:pPr>
        <w:pStyle w:val="14"/>
        <w:spacing w:line="480" w:lineRule="auto"/>
        <w:ind w:left="420" w:leftChars="200" w:firstLine="0"/>
        <w:rPr>
          <w:rFonts w:ascii="宋体" w:hAnsi="宋体"/>
          <w:color w:val="auto"/>
          <w:szCs w:val="21"/>
          <w:highlight w:val="none"/>
        </w:rPr>
      </w:pPr>
      <w:r>
        <w:rPr>
          <w:rFonts w:hint="eastAsia" w:ascii="宋体" w:hAnsi="宋体"/>
          <w:color w:val="auto"/>
          <w:szCs w:val="21"/>
          <w:highlight w:val="none"/>
          <w:u w:val="single"/>
        </w:rPr>
        <w:t xml:space="preserve">3.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w:t>
      </w:r>
      <w:r>
        <w:rPr>
          <w:rFonts w:hint="eastAsia" w:ascii="宋体" w:hAnsi="宋体"/>
          <w:color w:val="auto"/>
          <w:szCs w:val="21"/>
          <w:highlight w:val="none"/>
        </w:rPr>
        <w:t>其他</w:t>
      </w:r>
      <w:r>
        <w:rPr>
          <w:rFonts w:ascii="宋体" w:hAnsi="宋体"/>
          <w:color w:val="auto"/>
          <w:szCs w:val="21"/>
          <w:highlight w:val="none"/>
        </w:rPr>
        <w:t>补充说明）</w:t>
      </w:r>
      <w:r>
        <w:rPr>
          <w:rFonts w:hint="eastAsia" w:ascii="宋体" w:hAnsi="宋体"/>
          <w:color w:val="auto"/>
          <w:szCs w:val="21"/>
          <w:highlight w:val="none"/>
        </w:rPr>
        <w:t>。</w:t>
      </w:r>
    </w:p>
    <w:p w14:paraId="4A3F6638">
      <w:pPr>
        <w:pStyle w:val="14"/>
        <w:spacing w:line="360" w:lineRule="exact"/>
        <w:rPr>
          <w:rFonts w:ascii="宋体" w:hAnsi="宋体"/>
          <w:color w:val="auto"/>
          <w:szCs w:val="21"/>
          <w:highlight w:val="none"/>
        </w:rPr>
      </w:pPr>
    </w:p>
    <w:p w14:paraId="78A27F3D">
      <w:pPr>
        <w:pStyle w:val="14"/>
        <w:spacing w:line="400" w:lineRule="exact"/>
        <w:ind w:firstLine="567" w:firstLineChars="270"/>
        <w:rPr>
          <w:color w:val="auto"/>
          <w:szCs w:val="21"/>
          <w:highlight w:val="none"/>
          <w:u w:val="single"/>
        </w:rPr>
      </w:pPr>
      <w:r>
        <w:rPr>
          <w:rFonts w:hint="eastAsia"/>
          <w:color w:val="auto"/>
          <w:szCs w:val="21"/>
          <w:highlight w:val="none"/>
        </w:rPr>
        <w:t>竞包</w:t>
      </w:r>
      <w:r>
        <w:rPr>
          <w:color w:val="auto"/>
          <w:szCs w:val="21"/>
          <w:highlight w:val="none"/>
        </w:rPr>
        <w:t>人：</w:t>
      </w:r>
      <w:r>
        <w:rPr>
          <w:color w:val="auto"/>
          <w:szCs w:val="21"/>
          <w:highlight w:val="none"/>
          <w:u w:val="single"/>
        </w:rPr>
        <w:t xml:space="preserve">                          </w:t>
      </w:r>
      <w:r>
        <w:rPr>
          <w:rFonts w:hint="eastAsia"/>
          <w:color w:val="auto"/>
          <w:szCs w:val="21"/>
          <w:highlight w:val="none"/>
        </w:rPr>
        <w:t>（盖单位印章）</w:t>
      </w:r>
    </w:p>
    <w:p w14:paraId="4E5D2A40">
      <w:pPr>
        <w:pStyle w:val="14"/>
        <w:spacing w:line="400" w:lineRule="exact"/>
        <w:ind w:firstLine="567" w:firstLineChars="270"/>
        <w:rPr>
          <w:color w:val="auto"/>
          <w:szCs w:val="21"/>
          <w:highlight w:val="none"/>
        </w:rPr>
      </w:pPr>
      <w:r>
        <w:rPr>
          <w:color w:val="auto"/>
          <w:szCs w:val="21"/>
          <w:highlight w:val="none"/>
        </w:rPr>
        <w:t>法定代表人：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（盖法定代表人章）</w:t>
      </w:r>
    </w:p>
    <w:p w14:paraId="2BC501CA">
      <w:pPr>
        <w:pStyle w:val="14"/>
        <w:spacing w:line="400" w:lineRule="exact"/>
        <w:ind w:firstLine="567" w:firstLineChars="270"/>
        <w:rPr>
          <w:color w:val="auto"/>
          <w:szCs w:val="21"/>
          <w:highlight w:val="none"/>
        </w:rPr>
      </w:pPr>
      <w:r>
        <w:rPr>
          <w:color w:val="auto"/>
          <w:szCs w:val="21"/>
          <w:highlight w:val="none"/>
        </w:rPr>
        <w:t>地址：</w:t>
      </w:r>
      <w:r>
        <w:rPr>
          <w:color w:val="auto"/>
          <w:szCs w:val="21"/>
          <w:highlight w:val="none"/>
          <w:u w:val="single"/>
        </w:rPr>
        <w:t xml:space="preserve">                                     </w:t>
      </w:r>
    </w:p>
    <w:p w14:paraId="7DE5E95E">
      <w:pPr>
        <w:pStyle w:val="14"/>
        <w:spacing w:line="400" w:lineRule="exact"/>
        <w:ind w:firstLine="567" w:firstLineChars="270"/>
        <w:rPr>
          <w:color w:val="auto"/>
          <w:szCs w:val="21"/>
          <w:highlight w:val="none"/>
        </w:rPr>
      </w:pPr>
      <w:r>
        <w:rPr>
          <w:color w:val="auto"/>
          <w:szCs w:val="21"/>
          <w:highlight w:val="none"/>
        </w:rPr>
        <w:t>网址：</w:t>
      </w:r>
      <w:r>
        <w:rPr>
          <w:color w:val="auto"/>
          <w:szCs w:val="21"/>
          <w:highlight w:val="none"/>
          <w:u w:val="single"/>
        </w:rPr>
        <w:t xml:space="preserve">                                     </w:t>
      </w:r>
    </w:p>
    <w:p w14:paraId="42D7EF7E">
      <w:pPr>
        <w:pStyle w:val="14"/>
        <w:spacing w:line="400" w:lineRule="exact"/>
        <w:ind w:firstLine="567" w:firstLineChars="270"/>
        <w:rPr>
          <w:color w:val="auto"/>
          <w:szCs w:val="21"/>
          <w:highlight w:val="none"/>
        </w:rPr>
      </w:pPr>
      <w:r>
        <w:rPr>
          <w:color w:val="auto"/>
          <w:szCs w:val="21"/>
          <w:highlight w:val="none"/>
        </w:rPr>
        <w:t>电话：</w:t>
      </w:r>
      <w:r>
        <w:rPr>
          <w:color w:val="auto"/>
          <w:szCs w:val="21"/>
          <w:highlight w:val="none"/>
          <w:u w:val="single"/>
        </w:rPr>
        <w:t xml:space="preserve">                                     </w:t>
      </w:r>
    </w:p>
    <w:p w14:paraId="32F73162">
      <w:pPr>
        <w:pStyle w:val="14"/>
        <w:spacing w:line="400" w:lineRule="exact"/>
        <w:ind w:firstLine="567" w:firstLineChars="270"/>
        <w:rPr>
          <w:color w:val="auto"/>
          <w:szCs w:val="21"/>
          <w:highlight w:val="none"/>
        </w:rPr>
      </w:pPr>
      <w:r>
        <w:rPr>
          <w:color w:val="auto"/>
          <w:szCs w:val="21"/>
          <w:highlight w:val="none"/>
        </w:rPr>
        <w:t>传真：</w:t>
      </w:r>
      <w:r>
        <w:rPr>
          <w:color w:val="auto"/>
          <w:szCs w:val="21"/>
          <w:highlight w:val="none"/>
          <w:u w:val="single"/>
        </w:rPr>
        <w:t xml:space="preserve">                                     </w:t>
      </w:r>
    </w:p>
    <w:p w14:paraId="180016DA">
      <w:pPr>
        <w:pStyle w:val="14"/>
        <w:spacing w:line="400" w:lineRule="exact"/>
        <w:ind w:firstLine="567" w:firstLineChars="270"/>
        <w:rPr>
          <w:color w:val="auto"/>
          <w:szCs w:val="21"/>
          <w:highlight w:val="none"/>
        </w:rPr>
      </w:pPr>
      <w:r>
        <w:rPr>
          <w:color w:val="auto"/>
          <w:szCs w:val="21"/>
          <w:highlight w:val="none"/>
        </w:rPr>
        <w:t>邮</w:t>
      </w:r>
      <w:r>
        <w:rPr>
          <w:rFonts w:hint="eastAsia"/>
          <w:color w:val="auto"/>
          <w:szCs w:val="21"/>
          <w:highlight w:val="none"/>
        </w:rPr>
        <w:t>政</w:t>
      </w:r>
      <w:r>
        <w:rPr>
          <w:color w:val="auto"/>
          <w:szCs w:val="21"/>
          <w:highlight w:val="none"/>
        </w:rPr>
        <w:t>编</w:t>
      </w:r>
      <w:r>
        <w:rPr>
          <w:rFonts w:hint="eastAsia"/>
          <w:color w:val="auto"/>
          <w:szCs w:val="21"/>
          <w:highlight w:val="none"/>
        </w:rPr>
        <w:t>码</w:t>
      </w:r>
      <w:r>
        <w:rPr>
          <w:color w:val="auto"/>
          <w:szCs w:val="21"/>
          <w:highlight w:val="none"/>
        </w:rPr>
        <w:t>：</w:t>
      </w:r>
      <w:r>
        <w:rPr>
          <w:color w:val="auto"/>
          <w:szCs w:val="21"/>
          <w:highlight w:val="none"/>
          <w:u w:val="single"/>
        </w:rPr>
        <w:t xml:space="preserve">                                 </w:t>
      </w:r>
    </w:p>
    <w:p w14:paraId="3FF7CF1C">
      <w:pPr>
        <w:pStyle w:val="14"/>
        <w:spacing w:line="400" w:lineRule="exact"/>
        <w:ind w:firstLine="1407" w:firstLineChars="670"/>
        <w:rPr>
          <w:color w:val="auto"/>
          <w:szCs w:val="21"/>
          <w:highlight w:val="none"/>
        </w:rPr>
      </w:pPr>
      <w:r>
        <w:rPr>
          <w:color w:val="auto"/>
          <w:szCs w:val="21"/>
          <w:highlight w:val="none"/>
          <w:u w:val="single"/>
        </w:rPr>
        <w:t xml:space="preserve">               </w:t>
      </w:r>
      <w:r>
        <w:rPr>
          <w:rFonts w:hint="eastAsia"/>
          <w:color w:val="auto"/>
          <w:szCs w:val="21"/>
          <w:highlight w:val="none"/>
        </w:rPr>
        <w:t>年</w:t>
      </w:r>
      <w:r>
        <w:rPr>
          <w:color w:val="auto"/>
          <w:szCs w:val="21"/>
          <w:highlight w:val="none"/>
          <w:u w:val="single"/>
        </w:rPr>
        <w:t xml:space="preserve">         </w:t>
      </w:r>
      <w:r>
        <w:rPr>
          <w:rFonts w:hint="eastAsia"/>
          <w:color w:val="auto"/>
          <w:szCs w:val="21"/>
          <w:highlight w:val="none"/>
        </w:rPr>
        <w:t>月</w:t>
      </w:r>
      <w:r>
        <w:rPr>
          <w:color w:val="auto"/>
          <w:szCs w:val="21"/>
          <w:highlight w:val="none"/>
          <w:u w:val="single"/>
        </w:rPr>
        <w:t xml:space="preserve">         </w:t>
      </w:r>
      <w:r>
        <w:rPr>
          <w:rFonts w:hint="eastAsia"/>
          <w:color w:val="auto"/>
          <w:szCs w:val="21"/>
          <w:highlight w:val="none"/>
        </w:rPr>
        <w:t>日</w:t>
      </w:r>
    </w:p>
    <w:p w14:paraId="56A3FE81">
      <w:pPr>
        <w:pStyle w:val="14"/>
        <w:spacing w:line="440" w:lineRule="exact"/>
        <w:rPr>
          <w:rFonts w:eastAsia="黑体"/>
          <w:color w:val="auto"/>
          <w:sz w:val="20"/>
          <w:szCs w:val="20"/>
          <w:highlight w:val="none"/>
        </w:rPr>
      </w:pPr>
    </w:p>
    <w:p w14:paraId="7CFF5032">
      <w:pPr>
        <w:pStyle w:val="14"/>
        <w:spacing w:line="100" w:lineRule="exact"/>
        <w:rPr>
          <w:color w:val="auto"/>
          <w:highlight w:val="none"/>
        </w:rPr>
      </w:pPr>
      <w:r>
        <w:rPr>
          <w:rFonts w:eastAsia="黑体"/>
          <w:color w:val="auto"/>
          <w:sz w:val="20"/>
          <w:szCs w:val="20"/>
          <w:highlight w:val="none"/>
        </w:rPr>
        <w:br w:type="page"/>
      </w:r>
    </w:p>
    <w:p w14:paraId="7FCFDD8A">
      <w:pPr>
        <w:pStyle w:val="62"/>
        <w:spacing w:before="0"/>
        <w:jc w:val="center"/>
        <w:rPr>
          <w:color w:val="auto"/>
          <w:sz w:val="30"/>
          <w:szCs w:val="30"/>
          <w:highlight w:val="none"/>
        </w:rPr>
      </w:pPr>
      <w:bookmarkStart w:id="1078" w:name="_Toc17260"/>
      <w:bookmarkStart w:id="1079" w:name="_Toc18047"/>
      <w:bookmarkStart w:id="1080" w:name="_Toc25678"/>
      <w:bookmarkStart w:id="1081" w:name="_Toc22995"/>
      <w:bookmarkStart w:id="1082" w:name="_Toc5456"/>
      <w:bookmarkStart w:id="1083" w:name="_Toc29511"/>
      <w:bookmarkStart w:id="1084" w:name="_Hlk42509483"/>
      <w:r>
        <w:rPr>
          <w:rFonts w:hint="eastAsia"/>
          <w:color w:val="auto"/>
          <w:sz w:val="30"/>
          <w:szCs w:val="30"/>
          <w:highlight w:val="none"/>
        </w:rPr>
        <w:t>二、设计费用清单</w:t>
      </w:r>
      <w:bookmarkEnd w:id="1078"/>
      <w:bookmarkEnd w:id="1079"/>
      <w:bookmarkEnd w:id="1080"/>
      <w:bookmarkEnd w:id="1081"/>
      <w:bookmarkEnd w:id="1082"/>
      <w:bookmarkEnd w:id="1083"/>
    </w:p>
    <w:bookmarkEnd w:id="0"/>
    <w:bookmarkEnd w:id="1"/>
    <w:bookmarkEnd w:id="1084"/>
    <w:p w14:paraId="7497090E">
      <w:pPr>
        <w:pStyle w:val="11"/>
        <w:framePr w:hSpace="0" w:wrap="auto" w:vAnchor="margin" w:hAnchor="text" w:yAlign="inline"/>
        <w:tabs>
          <w:tab w:val="left" w:pos="6474"/>
        </w:tabs>
        <w:rPr>
          <w:rFonts w:hAnsi="宋体" w:cs="宋体"/>
          <w:color w:val="auto"/>
          <w:highlight w:val="none"/>
        </w:rPr>
      </w:pPr>
    </w:p>
    <w:sectPr>
      <w:headerReference r:id="rId21" w:type="default"/>
      <w:footerReference r:id="rId23" w:type="default"/>
      <w:headerReference r:id="rId22" w:type="even"/>
      <w:footnotePr>
        <w:numFmt w:val="decimalEnclosedCircleChinese"/>
        <w:numRestart w:val="eachPage"/>
      </w:footnotePr>
      <w:type w:val="continuous"/>
      <w:pgSz w:w="11911" w:h="16849"/>
      <w:pgMar w:top="1417" w:right="1361" w:bottom="1417" w:left="1361" w:header="850" w:footer="90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 w:name="Arial Unicode MS">
    <w:altName w:val="宋体"/>
    <w:panose1 w:val="020B0604020202020204"/>
    <w:charset w:val="86"/>
    <w:family w:val="swiss"/>
    <w:pitch w:val="default"/>
    <w:sig w:usb0="00000000" w:usb1="00000000" w:usb2="0000007F" w:usb3="00000000" w:csb0="003F01FF" w:csb1="00000000"/>
  </w:font>
  <w:font w:name="E-FZ">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panose1 w:val="05020102010507070707"/>
    <w:charset w:val="02"/>
    <w:family w:val="roman"/>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onstantia">
    <w:panose1 w:val="02030602050306030303"/>
    <w:charset w:val="00"/>
    <w:family w:val="roman"/>
    <w:pitch w:val="default"/>
    <w:sig w:usb0="A00002EF" w:usb1="4000204B" w:usb2="00000000" w:usb3="00000000" w:csb0="2000019F"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8A94D">
    <w:pPr>
      <w:jc w:val="right"/>
    </w:pPr>
  </w:p>
  <w:p w14:paraId="4543421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14D05"/>
  <w:p w14:paraId="2D235A96">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480DF">
    <w:pPr>
      <w:jc w:val="right"/>
    </w:pPr>
  </w:p>
  <w:p w14:paraId="13D249A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98663F"/>
  <w:p w14:paraId="46F20543">
    <w:pP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23BDC">
    <w:pPr>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D42F2C">
                          <w:pPr>
                            <w:pStyle w:val="21"/>
                          </w:pPr>
                          <w:r>
                            <w:fldChar w:fldCharType="begin"/>
                          </w:r>
                          <w:r>
                            <w:instrText xml:space="preserve"> PAGE  \* MERGEFORMAT </w:instrText>
                          </w:r>
                          <w:r>
                            <w:fldChar w:fldCharType="separate"/>
                          </w:r>
                          <w:r>
                            <w:t>3</w:t>
                          </w:r>
                          <w:r>
                            <w:fldChar w:fldCharType="end"/>
                          </w:r>
                        </w:p>
                      </w:txbxContent>
                    </wps:txbx>
                    <wps:bodyPr vert="horz" wrap="none" lIns="0" tIns="0" rIns="0" bIns="0" anchor="t" anchorCtr="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A3+fp/XAQAAswMAAA4AAAAAAAAAAQAgAAAA&#10;HgEAAGRycy9lMm9Eb2MueG1sUEsFBgAAAAAGAAYAWQEAAGcFAAAAAA==&#10;">
              <v:fill on="f" focussize="0,0"/>
              <v:stroke on="f"/>
              <v:imagedata o:title=""/>
              <o:lock v:ext="edit" aspectratio="f"/>
              <v:textbox inset="0mm,0mm,0mm,0mm" style="mso-fit-shape-to-text:t;">
                <w:txbxContent>
                  <w:p w14:paraId="46D42F2C">
                    <w:pPr>
                      <w:pStyle w:val="21"/>
                    </w:pPr>
                    <w:r>
                      <w:fldChar w:fldCharType="begin"/>
                    </w:r>
                    <w:r>
                      <w:instrText xml:space="preserve"> PAGE  \* MERGEFORMAT </w:instrText>
                    </w:r>
                    <w:r>
                      <w:fldChar w:fldCharType="separate"/>
                    </w:r>
                    <w:r>
                      <w:t>3</w:t>
                    </w:r>
                    <w:r>
                      <w:fldChar w:fldCharType="end"/>
                    </w:r>
                  </w:p>
                </w:txbxContent>
              </v:textbox>
            </v:shape>
          </w:pict>
        </mc:Fallback>
      </mc:AlternateContent>
    </w:r>
  </w:p>
  <w:p w14:paraId="512321C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1B083">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54A8C3">
                          <w:pPr>
                            <w:pStyle w:val="21"/>
                          </w:pPr>
                          <w:r>
                            <w:fldChar w:fldCharType="begin"/>
                          </w:r>
                          <w:r>
                            <w:instrText xml:space="preserve"> PAGE  \* MERGEFORMAT </w:instrText>
                          </w:r>
                          <w:r>
                            <w:fldChar w:fldCharType="separate"/>
                          </w:r>
                          <w:r>
                            <w:t>2</w:t>
                          </w:r>
                          <w:r>
                            <w:fldChar w:fldCharType="end"/>
                          </w:r>
                        </w:p>
                      </w:txbxContent>
                    </wps:txbx>
                    <wps:bodyPr vert="horz" wrap="none" lIns="0" tIns="0" rIns="0" bIns="0" anchor="t" anchorCtr="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JNogNgBAACzAwAADgAAAGRycy9lMm9Eb2MueG1srVPBjtMwEL0j8Q+W&#10;7zTZroS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sk2iA2AEAALMDAAAOAAAAAAAAAAEAIAAA&#10;AB4BAABkcnMvZTJvRG9jLnhtbFBLBQYAAAAABgAGAFkBAABoBQAAAAA=&#10;">
              <v:fill on="f" focussize="0,0"/>
              <v:stroke on="f"/>
              <v:imagedata o:title=""/>
              <o:lock v:ext="edit" aspectratio="f"/>
              <v:textbox inset="0mm,0mm,0mm,0mm" style="mso-fit-shape-to-text:t;">
                <w:txbxContent>
                  <w:p w14:paraId="4054A8C3">
                    <w:pPr>
                      <w:pStyle w:val="21"/>
                    </w:pPr>
                    <w:r>
                      <w:fldChar w:fldCharType="begin"/>
                    </w:r>
                    <w:r>
                      <w:instrText xml:space="preserve"> PAGE  \* MERGEFORMAT </w:instrText>
                    </w:r>
                    <w:r>
                      <w:fldChar w:fldCharType="separate"/>
                    </w:r>
                    <w:r>
                      <w:t>2</w:t>
                    </w:r>
                    <w:r>
                      <w:fldChar w:fldCharType="end"/>
                    </w:r>
                  </w:p>
                </w:txbxContent>
              </v:textbox>
            </v:shape>
          </w:pict>
        </mc:Fallback>
      </mc:AlternateContent>
    </w:r>
  </w:p>
  <w:p w14:paraId="1545848E">
    <w:pPr>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93B96">
    <w:pPr>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DA04CB9">
                          <w:pPr>
                            <w:pStyle w:val="21"/>
                          </w:pPr>
                          <w:r>
                            <w:fldChar w:fldCharType="begin"/>
                          </w:r>
                          <w:r>
                            <w:instrText xml:space="preserve"> PAGE  \* MERGEFORMAT </w:instrText>
                          </w:r>
                          <w:r>
                            <w:fldChar w:fldCharType="separate"/>
                          </w:r>
                          <w:r>
                            <w:t>7</w:t>
                          </w:r>
                          <w:r>
                            <w:fldChar w:fldCharType="end"/>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5ML3dgBAACzAwAADgAAAGRycy9lMm9Eb2MueG1srVPBjtMwEL0j8Q+W&#10;7zTZaoW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DLkwvd2AEAALMDAAAOAAAAAAAAAAEAIAAA&#10;AB4BAABkcnMvZTJvRG9jLnhtbFBLBQYAAAAABgAGAFkBAABoBQAAAAA=&#10;">
              <v:fill on="f" focussize="0,0"/>
              <v:stroke on="f"/>
              <v:imagedata o:title=""/>
              <o:lock v:ext="edit" aspectratio="f"/>
              <v:textbox inset="0mm,0mm,0mm,0mm" style="mso-fit-shape-to-text:t;">
                <w:txbxContent>
                  <w:p w14:paraId="3DA04CB9">
                    <w:pPr>
                      <w:pStyle w:val="21"/>
                    </w:pPr>
                    <w:r>
                      <w:fldChar w:fldCharType="begin"/>
                    </w:r>
                    <w:r>
                      <w:instrText xml:space="preserve"> PAGE  \* MERGEFORMAT </w:instrText>
                    </w:r>
                    <w:r>
                      <w:fldChar w:fldCharType="separate"/>
                    </w:r>
                    <w:r>
                      <w:t>7</w:t>
                    </w:r>
                    <w:r>
                      <w:fldChar w:fldCharType="end"/>
                    </w:r>
                  </w:p>
                </w:txbxContent>
              </v:textbox>
            </v:shape>
          </w:pict>
        </mc:Fallback>
      </mc:AlternateContent>
    </w:r>
  </w:p>
  <w:p w14:paraId="0F947DB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8060F">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64AAD7">
                          <w:pPr>
                            <w:pStyle w:val="21"/>
                          </w:pPr>
                          <w:r>
                            <w:fldChar w:fldCharType="begin"/>
                          </w:r>
                          <w:r>
                            <w:instrText xml:space="preserve"> PAGE  \* MERGEFORMAT </w:instrText>
                          </w:r>
                          <w:r>
                            <w:fldChar w:fldCharType="separate"/>
                          </w:r>
                          <w:r>
                            <w:t>8</w:t>
                          </w:r>
                          <w:r>
                            <w:fldChar w:fldCharType="end"/>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Bq/h3C2AEAALMDAAAOAAAAAAAAAAEAIAAA&#10;AB4BAABkcnMvZTJvRG9jLnhtbFBLBQYAAAAABgAGAFkBAABoBQAAAAA=&#10;">
              <v:fill on="f" focussize="0,0"/>
              <v:stroke on="f"/>
              <v:imagedata o:title=""/>
              <o:lock v:ext="edit" aspectratio="f"/>
              <v:textbox inset="0mm,0mm,0mm,0mm" style="mso-fit-shape-to-text:t;">
                <w:txbxContent>
                  <w:p w14:paraId="7564AAD7">
                    <w:pPr>
                      <w:pStyle w:val="21"/>
                    </w:pPr>
                    <w:r>
                      <w:fldChar w:fldCharType="begin"/>
                    </w:r>
                    <w:r>
                      <w:instrText xml:space="preserve"> PAGE  \* MERGEFORMAT </w:instrText>
                    </w:r>
                    <w:r>
                      <w:fldChar w:fldCharType="separate"/>
                    </w:r>
                    <w:r>
                      <w:t>8</w:t>
                    </w:r>
                    <w:r>
                      <w:fldChar w:fldCharType="end"/>
                    </w:r>
                  </w:p>
                </w:txbxContent>
              </v:textbox>
            </v:shape>
          </w:pict>
        </mc:Fallback>
      </mc:AlternateContent>
    </w:r>
  </w:p>
  <w:p w14:paraId="0B34CAE0">
    <w:pPr>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12600">
    <w:pPr>
      <w:spacing w:line="123" w:lineRule="exact"/>
      <w:ind w:left="4509"/>
      <w:rPr>
        <w:rFonts w:ascii="Constantia" w:hAnsi="Constantia" w:eastAsia="Constantia" w:cs="Constantia"/>
        <w:sz w:val="17"/>
        <w:szCs w:val="17"/>
      </w:rPr>
    </w:pPr>
    <w:r>
      <w:rPr>
        <w:rFonts w:ascii="Constantia" w:hAnsi="Constantia" w:eastAsia="Constantia" w:cs="Constantia"/>
        <w:b/>
        <w:bCs/>
        <w:spacing w:val="5"/>
        <w:position w:val="2"/>
        <w:sz w:val="17"/>
        <w:szCs w:val="17"/>
      </w:rPr>
      <w:t>142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43B06D08">
      <w:pPr>
        <w:pStyle w:val="25"/>
      </w:pPr>
      <w:r>
        <w:rPr>
          <w:rStyle w:val="41"/>
          <w:vertAlign w:val="baseline"/>
        </w:rPr>
        <w:footnoteRef/>
      </w:r>
      <w:r>
        <w:rPr>
          <w:rFonts w:hint="eastAsia"/>
        </w:rPr>
        <w:t>发包人可根据项目具体特点和实际情况进行修改。</w:t>
      </w:r>
    </w:p>
  </w:footnote>
  <w:footnote w:id="1">
    <w:p w14:paraId="37AD5DFE">
      <w:pPr>
        <w:pStyle w:val="25"/>
      </w:pPr>
      <w:r>
        <w:rPr>
          <w:rStyle w:val="41"/>
          <w:vertAlign w:val="baseline"/>
        </w:rPr>
        <w:footnoteRef/>
      </w:r>
      <w:r>
        <w:rPr>
          <w:rFonts w:hint="eastAsia" w:ascii="宋体" w:hAnsi="宋体" w:cs="宋体"/>
          <w:kern w:val="0"/>
        </w:rPr>
        <w:t>如项目采用设计施工总承包模式，</w:t>
      </w:r>
      <w:r>
        <w:rPr>
          <w:rFonts w:hint="eastAsia" w:ascii="仿宋_GB2312" w:cs="仿宋_GB2312"/>
          <w:szCs w:val="32"/>
        </w:rPr>
        <w:t>初步设计阶段勘测勘察工作应当加大设计深度，加强地质勘察，原则上按照定测详勘要求开展。高填深挖和深厚软土地基等特殊路段、主跨大于</w:t>
      </w:r>
      <w:r>
        <w:rPr>
          <w:rFonts w:ascii="仿宋_GB2312" w:cs="仿宋_GB2312"/>
          <w:szCs w:val="32"/>
        </w:rPr>
        <w:t>150</w:t>
      </w:r>
      <w:r>
        <w:rPr>
          <w:rFonts w:hint="eastAsia" w:ascii="仿宋_GB2312" w:cs="仿宋_GB2312"/>
          <w:szCs w:val="32"/>
        </w:rPr>
        <w:t>米桥梁、特长隧道、枢纽互通式立交等的设计文件原则上达到施工图设计深度。</w:t>
      </w:r>
      <w:r>
        <w:t xml:space="preserve"> </w:t>
      </w:r>
    </w:p>
  </w:footnote>
  <w:footnote w:id="2">
    <w:p w14:paraId="7CF3757A">
      <w:pPr>
        <w:spacing w:before="136" w:line="312" w:lineRule="auto"/>
        <w:ind w:right="-51"/>
        <w:rPr>
          <w:sz w:val="18"/>
        </w:rPr>
      </w:pPr>
      <w:r>
        <w:rPr>
          <w:rStyle w:val="41"/>
          <w:sz w:val="18"/>
          <w:szCs w:val="18"/>
          <w:vertAlign w:val="baseline"/>
        </w:rPr>
        <w:footnoteRef/>
      </w:r>
      <w:r>
        <w:rPr>
          <w:rFonts w:eastAsia="Times New Roman"/>
          <w:sz w:val="18"/>
        </w:rPr>
        <w:t>a.</w:t>
      </w:r>
      <w:r>
        <w:rPr>
          <w:rFonts w:hint="eastAsia"/>
          <w:spacing w:val="-4"/>
          <w:sz w:val="18"/>
        </w:rPr>
        <w:t>发包</w:t>
      </w:r>
      <w:r>
        <w:rPr>
          <w:spacing w:val="-4"/>
          <w:sz w:val="18"/>
        </w:rPr>
        <w:t>人应在</w:t>
      </w:r>
      <w:r>
        <w:rPr>
          <w:rFonts w:hint="eastAsia"/>
          <w:spacing w:val="-4"/>
          <w:sz w:val="18"/>
        </w:rPr>
        <w:t>发包</w:t>
      </w:r>
      <w:r>
        <w:rPr>
          <w:spacing w:val="-4"/>
          <w:sz w:val="18"/>
        </w:rPr>
        <w:t>文件中规定</w:t>
      </w:r>
      <w:r>
        <w:rPr>
          <w:rFonts w:hint="eastAsia"/>
          <w:spacing w:val="-4"/>
          <w:sz w:val="18"/>
        </w:rPr>
        <w:t>竞包</w:t>
      </w:r>
      <w:r>
        <w:rPr>
          <w:spacing w:val="-4"/>
          <w:sz w:val="18"/>
        </w:rPr>
        <w:t>人在所</w:t>
      </w:r>
      <w:r>
        <w:rPr>
          <w:rFonts w:hint="eastAsia"/>
          <w:spacing w:val="-4"/>
          <w:sz w:val="18"/>
        </w:rPr>
        <w:t>竞包阶</w:t>
      </w:r>
      <w:r>
        <w:rPr>
          <w:spacing w:val="-4"/>
          <w:sz w:val="18"/>
        </w:rPr>
        <w:t>段中标需派驻的各专业分项负责人。上述人员的具体人选由</w:t>
      </w:r>
      <w:r>
        <w:rPr>
          <w:rFonts w:hint="eastAsia"/>
          <w:spacing w:val="-4"/>
          <w:sz w:val="18"/>
        </w:rPr>
        <w:t>发包</w:t>
      </w:r>
      <w:r>
        <w:rPr>
          <w:sz w:val="18"/>
        </w:rPr>
        <w:t>人和中标人在合同谈判阶段确定，且经</w:t>
      </w:r>
      <w:r>
        <w:rPr>
          <w:rFonts w:hint="eastAsia"/>
          <w:sz w:val="18"/>
        </w:rPr>
        <w:t>发包</w:t>
      </w:r>
      <w:r>
        <w:rPr>
          <w:sz w:val="18"/>
        </w:rPr>
        <w:t>人审批后作为派驻本标段的主要人员，不允许更换。如中标人拟派驻的人员数量和资格条件不满足本表要求，</w:t>
      </w:r>
      <w:r>
        <w:rPr>
          <w:rFonts w:hint="eastAsia"/>
          <w:sz w:val="18"/>
        </w:rPr>
        <w:t>发包</w:t>
      </w:r>
      <w:r>
        <w:rPr>
          <w:sz w:val="18"/>
        </w:rPr>
        <w:t>人应取消其中标资格。</w:t>
      </w:r>
    </w:p>
    <w:p w14:paraId="674A370E">
      <w:pPr>
        <w:pStyle w:val="25"/>
      </w:pPr>
    </w:p>
  </w:footnote>
  <w:footnote w:id="3">
    <w:p w14:paraId="2DA02989">
      <w:pPr>
        <w:tabs>
          <w:tab w:val="left" w:pos="3849"/>
          <w:tab w:val="left" w:pos="7006"/>
        </w:tabs>
        <w:spacing w:before="78"/>
        <w:ind w:left="-2" w:leftChars="-1"/>
        <w:jc w:val="left"/>
        <w:rPr>
          <w:sz w:val="18"/>
          <w:szCs w:val="18"/>
        </w:rPr>
      </w:pPr>
      <w:r>
        <w:rPr>
          <w:rStyle w:val="41"/>
          <w:sz w:val="18"/>
          <w:szCs w:val="18"/>
          <w:vertAlign w:val="baseline"/>
        </w:rPr>
        <w:footnoteRef/>
      </w:r>
      <w:r>
        <w:rPr>
          <w:sz w:val="18"/>
          <w:szCs w:val="18"/>
        </w:rPr>
        <w:t>本条内容可修改为：</w:t>
      </w:r>
      <w:r>
        <w:rPr>
          <w:rFonts w:hint="eastAsia"/>
          <w:sz w:val="18"/>
          <w:szCs w:val="18"/>
        </w:rPr>
        <w:t>“</w:t>
      </w:r>
      <w:r>
        <w:rPr>
          <w:sz w:val="18"/>
          <w:szCs w:val="18"/>
        </w:rPr>
        <w:t>本担保自</w:t>
      </w:r>
      <w:r>
        <w:rPr>
          <w:sz w:val="18"/>
          <w:szCs w:val="18"/>
          <w:u w:val="single"/>
        </w:rPr>
        <w:t xml:space="preserve"> </w:t>
      </w:r>
      <w:r>
        <w:rPr>
          <w:sz w:val="18"/>
          <w:szCs w:val="18"/>
          <w:u w:val="single"/>
        </w:rPr>
        <w:tab/>
      </w:r>
      <w:r>
        <w:rPr>
          <w:sz w:val="18"/>
          <w:szCs w:val="18"/>
        </w:rPr>
        <w:t>（生效日期）之</w:t>
      </w:r>
      <w:r>
        <w:rPr>
          <w:spacing w:val="-3"/>
          <w:sz w:val="18"/>
          <w:szCs w:val="18"/>
        </w:rPr>
        <w:t>日</w:t>
      </w:r>
      <w:r>
        <w:rPr>
          <w:sz w:val="18"/>
          <w:szCs w:val="18"/>
        </w:rPr>
        <w:t>起生效，至</w:t>
      </w:r>
      <w:r>
        <w:rPr>
          <w:sz w:val="18"/>
          <w:szCs w:val="18"/>
          <w:u w:val="single"/>
        </w:rPr>
        <w:t xml:space="preserve"> </w:t>
      </w:r>
      <w:r>
        <w:rPr>
          <w:sz w:val="18"/>
          <w:szCs w:val="18"/>
          <w:u w:val="single"/>
        </w:rPr>
        <w:tab/>
      </w:r>
      <w:r>
        <w:rPr>
          <w:sz w:val="18"/>
          <w:szCs w:val="18"/>
        </w:rPr>
        <w:t>（失效日期</w:t>
      </w:r>
      <w:r>
        <w:rPr>
          <w:spacing w:val="3"/>
          <w:sz w:val="18"/>
          <w:szCs w:val="18"/>
        </w:rPr>
        <w:t>）</w:t>
      </w:r>
      <w:r>
        <w:rPr>
          <w:sz w:val="18"/>
          <w:szCs w:val="18"/>
        </w:rPr>
        <w:t>之日失效。</w:t>
      </w:r>
      <w:r>
        <w:rPr>
          <w:rFonts w:hint="eastAsia"/>
          <w:sz w:val="18"/>
          <w:szCs w:val="18"/>
        </w:rPr>
        <w:t>”</w:t>
      </w:r>
      <w:r>
        <w:rPr>
          <w:sz w:val="18"/>
          <w:szCs w:val="18"/>
        </w:rPr>
        <w:t>如发包人接受履约保函采用固定有效期，在专用合同条款中应增加保证设计人在履约保函失效日前向发包人出具后续阶段履约保函的约束性条款，直至发包人签收最后一批</w:t>
      </w:r>
      <w:r>
        <w:rPr>
          <w:rFonts w:hint="eastAsia"/>
          <w:sz w:val="18"/>
          <w:szCs w:val="18"/>
        </w:rPr>
        <w:t>设计</w:t>
      </w:r>
      <w:r>
        <w:rPr>
          <w:sz w:val="18"/>
          <w:szCs w:val="18"/>
        </w:rPr>
        <w:t>成果文件且设计人按照合同约定缴纳质量保证金之日为止。</w:t>
      </w:r>
    </w:p>
    <w:p w14:paraId="6593AEA6">
      <w:pPr>
        <w:pStyle w:val="25"/>
      </w:pPr>
    </w:p>
  </w:footnote>
  <w:footnote w:id="4">
    <w:p w14:paraId="6F42A447">
      <w:pPr>
        <w:pStyle w:val="25"/>
      </w:pPr>
      <w:r>
        <w:rPr>
          <w:rStyle w:val="41"/>
          <w:vertAlign w:val="baseline"/>
        </w:rPr>
        <w:footnoteRef/>
      </w:r>
      <w:r>
        <w:rPr>
          <w:rFonts w:hint="eastAsia"/>
        </w:rPr>
        <w:t>发包</w:t>
      </w:r>
      <w:r>
        <w:t>人可结合</w:t>
      </w:r>
      <w:r>
        <w:rPr>
          <w:rFonts w:hint="eastAsia"/>
        </w:rPr>
        <w:t>发包</w:t>
      </w:r>
      <w:r>
        <w:t>项目具体特点和实际需要，对本章内容进行补充、细化</w:t>
      </w:r>
      <w:r>
        <w:rPr>
          <w:rFonts w:hint="eastAsia"/>
        </w:rPr>
        <w:t>。</w:t>
      </w:r>
    </w:p>
  </w:footnote>
  <w:footnote w:id="5">
    <w:p w14:paraId="7710EFF7">
      <w:pPr>
        <w:pStyle w:val="25"/>
      </w:pPr>
      <w:r>
        <w:rPr>
          <w:rStyle w:val="41"/>
          <w:vertAlign w:val="baseline"/>
        </w:rPr>
        <w:footnoteRef/>
      </w:r>
      <w:r>
        <w:rPr>
          <w:rFonts w:hint="eastAsia"/>
        </w:rPr>
        <w:t>发包</w:t>
      </w:r>
      <w:r>
        <w:t>人可结合</w:t>
      </w:r>
      <w:r>
        <w:rPr>
          <w:rFonts w:hint="eastAsia"/>
        </w:rPr>
        <w:t>发包</w:t>
      </w:r>
      <w:r>
        <w:t>项目具体特点和实际需要，对本章内容进行补充、细化</w:t>
      </w:r>
      <w:r>
        <w:rPr>
          <w:rFonts w:hint="eastAsia"/>
        </w:rPr>
        <w:t>。</w:t>
      </w:r>
    </w:p>
  </w:footnote>
  <w:footnote w:id="6">
    <w:p w14:paraId="32477FDF">
      <w:pPr>
        <w:pStyle w:val="25"/>
      </w:pPr>
      <w:r>
        <w:rPr>
          <w:rStyle w:val="41"/>
          <w:vertAlign w:val="baseline"/>
        </w:rPr>
        <w:footnoteRef/>
      </w:r>
      <w:r>
        <w:t>如果由</w:t>
      </w:r>
      <w:r>
        <w:rPr>
          <w:rFonts w:hint="eastAsia"/>
        </w:rPr>
        <w:t>竞包</w:t>
      </w:r>
      <w:r>
        <w:t>人的法定代表人签署</w:t>
      </w:r>
      <w:r>
        <w:rPr>
          <w:rFonts w:hint="eastAsia"/>
        </w:rPr>
        <w:t>竞包</w:t>
      </w:r>
      <w:r>
        <w:t>文件，则无须提交授权委托书</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E41AF">
    <w:pPr>
      <w:pStyle w:val="22"/>
      <w:pBdr>
        <w:bottom w:val="none" w:color="auto" w:sz="0" w:space="1"/>
      </w:pBd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2DFF7">
    <w:pPr>
      <w:pStyle w:val="2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13504">
    <w:pPr>
      <w:pStyle w:val="22"/>
      <w:pBdr>
        <w:bottom w:val="none" w:color="auto" w:sz="0" w:space="1"/>
      </w:pBdr>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ED98C">
    <w:pPr>
      <w:pBdr>
        <w:bottom w:val="single" w:color="auto" w:sz="6" w:space="1"/>
      </w:pBdr>
      <w:tabs>
        <w:tab w:val="left" w:pos="1125"/>
        <w:tab w:val="right" w:pos="9309"/>
      </w:tabs>
      <w:wordWrap w:val="0"/>
      <w:jc w:val="left"/>
      <w:rPr>
        <w:rFonts w:ascii="黑体" w:eastAsia="黑体"/>
      </w:rPr>
    </w:pPr>
    <w:r>
      <w:rPr>
        <w:rFonts w:hint="eastAsia" w:ascii="黑体" w:eastAsia="黑体"/>
      </w:rPr>
      <w:t>甬金高速出入口建设工程设计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52E78">
    <w:pPr>
      <w:pStyle w:val="22"/>
      <w:rPr>
        <w:rFonts w:ascii="黑体" w:hAnsi="黑体" w:eastAsia="黑体" w:cs="黑体"/>
      </w:rPr>
    </w:pPr>
  </w:p>
  <w:p w14:paraId="6AF4AEEC">
    <w:pPr>
      <w:pStyle w:val="22"/>
      <w:jc w:val="both"/>
      <w:rPr>
        <w:rFonts w:ascii="黑体" w:hAnsi="黑体" w:eastAsia="黑体" w:cs="黑体"/>
      </w:rPr>
    </w:pPr>
    <w:r>
      <w:rPr>
        <w:rFonts w:hint="eastAsia" w:ascii="黑体" w:hAnsi="黑体" w:eastAsia="黑体" w:cs="黑体"/>
      </w:rPr>
      <w:t>甬金高速出入口建设工程设计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D4B55">
    <w:pPr>
      <w:pBdr>
        <w:bottom w:val="single" w:color="auto" w:sz="6" w:space="1"/>
      </w:pBdr>
      <w:tabs>
        <w:tab w:val="left" w:pos="1125"/>
        <w:tab w:val="right" w:pos="9309"/>
      </w:tabs>
      <w:wordWrap w:val="0"/>
      <w:jc w:val="left"/>
      <w:rPr>
        <w:rFonts w:eastAsia="黑体"/>
      </w:rPr>
    </w:pPr>
    <w:r>
      <w:rPr>
        <w:rFonts w:hint="eastAsia" w:ascii="黑体" w:eastAsia="黑体"/>
      </w:rPr>
      <w:t>甬金高速出入口建设工程设计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AEE44">
    <w:pPr>
      <w:pBdr>
        <w:bottom w:val="single" w:color="auto" w:sz="6" w:space="1"/>
      </w:pBdr>
      <w:tabs>
        <w:tab w:val="left" w:pos="1125"/>
        <w:tab w:val="right" w:pos="9309"/>
      </w:tabs>
      <w:wordWrap w:val="0"/>
      <w:jc w:val="left"/>
      <w:rPr>
        <w:rFonts w:eastAsia="黑体"/>
      </w:rPr>
    </w:pPr>
    <w:r>
      <w:rPr>
        <w:rFonts w:hint="eastAsia" w:ascii="黑体" w:eastAsia="黑体"/>
      </w:rPr>
      <w:tab/>
    </w:r>
    <w:r>
      <w:rPr>
        <w:rFonts w:hint="eastAsia" w:ascii="黑体" w:eastAsia="黑体"/>
      </w:rPr>
      <w:tab/>
    </w:r>
    <w:r>
      <w:rPr>
        <w:rFonts w:hint="eastAsia" w:ascii="黑体" w:eastAsia="黑体"/>
      </w:rPr>
      <w:t>第三章  评标办法（综合评估法）</w:t>
    </w:r>
  </w:p>
  <w:p w14:paraId="31EFA464">
    <w:pPr>
      <w:pStyle w:val="22"/>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809BF">
    <w:pPr>
      <w:pBdr>
        <w:bottom w:val="single" w:color="auto" w:sz="6" w:space="1"/>
      </w:pBdr>
      <w:tabs>
        <w:tab w:val="left" w:pos="1125"/>
        <w:tab w:val="right" w:pos="9309"/>
      </w:tabs>
      <w:wordWrap w:val="0"/>
      <w:jc w:val="left"/>
      <w:rPr>
        <w:rFonts w:eastAsia="黑体"/>
      </w:rPr>
    </w:pPr>
    <w:r>
      <w:rPr>
        <w:rFonts w:hint="eastAsia" w:ascii="黑体" w:eastAsia="黑体"/>
      </w:rPr>
      <w:t>甬金高速出入口建设工程设计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E8DA7">
    <w:pPr>
      <w:pBdr>
        <w:bottom w:val="single" w:color="auto" w:sz="6" w:space="1"/>
      </w:pBdr>
      <w:wordWrap w:val="0"/>
      <w:jc w:val="right"/>
      <w:rPr>
        <w:rFonts w:eastAsia="黑体"/>
      </w:rPr>
    </w:pPr>
  </w:p>
  <w:p w14:paraId="23E7623D">
    <w:pPr>
      <w:pStyle w:val="22"/>
      <w:pBdr>
        <w:bottom w:val="none" w:color="auto" w:sz="0" w:space="1"/>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D3C0">
    <w:pPr>
      <w:tabs>
        <w:tab w:val="left" w:pos="7125"/>
      </w:tabs>
      <w:spacing w:before="18" w:line="201" w:lineRule="auto"/>
      <w:ind w:left="31"/>
      <w:rPr>
        <w:rFonts w:ascii="宋体" w:hAnsi="宋体" w:cs="宋体"/>
        <w:sz w:val="20"/>
        <w:szCs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130BE">
    <w:pPr>
      <w:pBdr>
        <w:bottom w:val="single" w:color="auto" w:sz="6" w:space="1"/>
      </w:pBdr>
      <w:wordWrap w:val="0"/>
      <w:jc w:val="right"/>
      <w:rPr>
        <w:rFonts w:eastAsia="黑体"/>
      </w:rPr>
    </w:pPr>
    <w:r>
      <w:rPr>
        <w:rFonts w:hint="eastAsia" w:ascii="黑体" w:eastAsia="黑体"/>
      </w:rPr>
      <w:t>第六章  竞包文件格式</w:t>
    </w:r>
  </w:p>
  <w:p w14:paraId="6A04B64D">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7040B1"/>
    <w:multiLevelType w:val="singleLevel"/>
    <w:tmpl w:val="1B7040B1"/>
    <w:lvl w:ilvl="0" w:tentative="0">
      <w:start w:val="5"/>
      <w:numFmt w:val="decimal"/>
      <w:suff w:val="nothing"/>
      <w:lvlText w:val="%1．"/>
      <w:lvlJc w:val="left"/>
    </w:lvl>
  </w:abstractNum>
  <w:abstractNum w:abstractNumId="1">
    <w:nsid w:val="1EDCB713"/>
    <w:multiLevelType w:val="singleLevel"/>
    <w:tmpl w:val="1EDCB713"/>
    <w:lvl w:ilvl="0" w:tentative="0">
      <w:start w:val="16"/>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revisionView w:markup="0"/>
  <w:documentProtection w:enforcement="0"/>
  <w:defaultTabStop w:val="420"/>
  <w:evenAndOddHeaders w:val="1"/>
  <w:drawingGridHorizontalSpacing w:val="210"/>
  <w:drawingGridVerticalSpacing w:val="-7946"/>
  <w:noPunctuationKerning w:val="1"/>
  <w:characterSpacingControl w:val="compressPunctuation"/>
  <w:footnotePr>
    <w:numFmt w:val="decimalEnclosedCircleChinese"/>
    <w:numRestart w:val="eachPage"/>
    <w:footnote w:id="14"/>
    <w:footnote w:id="15"/>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 w:name="KSO_WPS_MARK_KEY" w:val="d13101f6-9e15-45f9-840d-42278c157612"/>
  </w:docVars>
  <w:rsids>
    <w:rsidRoot w:val="00172A27"/>
    <w:rsid w:val="00000A51"/>
    <w:rsid w:val="0000553A"/>
    <w:rsid w:val="00014F11"/>
    <w:rsid w:val="0003780A"/>
    <w:rsid w:val="00063695"/>
    <w:rsid w:val="0008383E"/>
    <w:rsid w:val="0009179A"/>
    <w:rsid w:val="000A3859"/>
    <w:rsid w:val="000B5741"/>
    <w:rsid w:val="000B62A7"/>
    <w:rsid w:val="000B6789"/>
    <w:rsid w:val="000D0E83"/>
    <w:rsid w:val="000E34BD"/>
    <w:rsid w:val="000E3FFD"/>
    <w:rsid w:val="000F0EEE"/>
    <w:rsid w:val="000F3252"/>
    <w:rsid w:val="00112787"/>
    <w:rsid w:val="00134874"/>
    <w:rsid w:val="00167BB7"/>
    <w:rsid w:val="00172A27"/>
    <w:rsid w:val="00192A8E"/>
    <w:rsid w:val="001948D8"/>
    <w:rsid w:val="001B1CE1"/>
    <w:rsid w:val="001B60DB"/>
    <w:rsid w:val="001C39C9"/>
    <w:rsid w:val="001F0451"/>
    <w:rsid w:val="001F0A56"/>
    <w:rsid w:val="001F4580"/>
    <w:rsid w:val="002069D3"/>
    <w:rsid w:val="00211A40"/>
    <w:rsid w:val="00222B35"/>
    <w:rsid w:val="0022544A"/>
    <w:rsid w:val="002418D5"/>
    <w:rsid w:val="00253B7E"/>
    <w:rsid w:val="002624D4"/>
    <w:rsid w:val="0026663B"/>
    <w:rsid w:val="002901B1"/>
    <w:rsid w:val="00297252"/>
    <w:rsid w:val="002A5D37"/>
    <w:rsid w:val="002D32DD"/>
    <w:rsid w:val="002E428C"/>
    <w:rsid w:val="002F3310"/>
    <w:rsid w:val="00312878"/>
    <w:rsid w:val="00320521"/>
    <w:rsid w:val="003279A8"/>
    <w:rsid w:val="003528A1"/>
    <w:rsid w:val="00376D04"/>
    <w:rsid w:val="003A1AE6"/>
    <w:rsid w:val="004041EE"/>
    <w:rsid w:val="00405E98"/>
    <w:rsid w:val="00410679"/>
    <w:rsid w:val="00411377"/>
    <w:rsid w:val="0041650F"/>
    <w:rsid w:val="004275B3"/>
    <w:rsid w:val="00431286"/>
    <w:rsid w:val="004451C9"/>
    <w:rsid w:val="00446EEA"/>
    <w:rsid w:val="00483D76"/>
    <w:rsid w:val="00485A9E"/>
    <w:rsid w:val="004A664C"/>
    <w:rsid w:val="004B1B91"/>
    <w:rsid w:val="004F5EE3"/>
    <w:rsid w:val="004F5F85"/>
    <w:rsid w:val="004F7457"/>
    <w:rsid w:val="00506549"/>
    <w:rsid w:val="005124B8"/>
    <w:rsid w:val="00512B27"/>
    <w:rsid w:val="00523B72"/>
    <w:rsid w:val="00542419"/>
    <w:rsid w:val="00584CB7"/>
    <w:rsid w:val="00590737"/>
    <w:rsid w:val="00597851"/>
    <w:rsid w:val="005D5DDD"/>
    <w:rsid w:val="005D71BD"/>
    <w:rsid w:val="005E642D"/>
    <w:rsid w:val="00604920"/>
    <w:rsid w:val="00622BB5"/>
    <w:rsid w:val="006233DD"/>
    <w:rsid w:val="0063295D"/>
    <w:rsid w:val="00646500"/>
    <w:rsid w:val="00667CE5"/>
    <w:rsid w:val="00670CF6"/>
    <w:rsid w:val="006D3350"/>
    <w:rsid w:val="006D38A2"/>
    <w:rsid w:val="006E78EB"/>
    <w:rsid w:val="007310FE"/>
    <w:rsid w:val="00732A11"/>
    <w:rsid w:val="00734186"/>
    <w:rsid w:val="00735FBE"/>
    <w:rsid w:val="0074350B"/>
    <w:rsid w:val="00757533"/>
    <w:rsid w:val="00765318"/>
    <w:rsid w:val="007721BB"/>
    <w:rsid w:val="007729E5"/>
    <w:rsid w:val="00772E76"/>
    <w:rsid w:val="00774D05"/>
    <w:rsid w:val="00780D00"/>
    <w:rsid w:val="00786192"/>
    <w:rsid w:val="00787D23"/>
    <w:rsid w:val="007A068F"/>
    <w:rsid w:val="007C44F4"/>
    <w:rsid w:val="007D7135"/>
    <w:rsid w:val="007F22F6"/>
    <w:rsid w:val="00820EF4"/>
    <w:rsid w:val="00825BFD"/>
    <w:rsid w:val="00836304"/>
    <w:rsid w:val="008423BA"/>
    <w:rsid w:val="008752B7"/>
    <w:rsid w:val="00884BAD"/>
    <w:rsid w:val="00886343"/>
    <w:rsid w:val="008920AE"/>
    <w:rsid w:val="008A1E63"/>
    <w:rsid w:val="008C72CD"/>
    <w:rsid w:val="008D2A96"/>
    <w:rsid w:val="008E23A3"/>
    <w:rsid w:val="008F4D6E"/>
    <w:rsid w:val="00935388"/>
    <w:rsid w:val="00941946"/>
    <w:rsid w:val="009F1CC8"/>
    <w:rsid w:val="00A25902"/>
    <w:rsid w:val="00A3631B"/>
    <w:rsid w:val="00A43496"/>
    <w:rsid w:val="00A43E76"/>
    <w:rsid w:val="00A729D8"/>
    <w:rsid w:val="00A92A57"/>
    <w:rsid w:val="00A95E69"/>
    <w:rsid w:val="00AE1939"/>
    <w:rsid w:val="00AE742D"/>
    <w:rsid w:val="00B072D4"/>
    <w:rsid w:val="00B1635B"/>
    <w:rsid w:val="00B42424"/>
    <w:rsid w:val="00B43CC5"/>
    <w:rsid w:val="00B77A1B"/>
    <w:rsid w:val="00B838E9"/>
    <w:rsid w:val="00BB3983"/>
    <w:rsid w:val="00BC2C60"/>
    <w:rsid w:val="00BC6E85"/>
    <w:rsid w:val="00BD07D2"/>
    <w:rsid w:val="00BD4B08"/>
    <w:rsid w:val="00BE48D2"/>
    <w:rsid w:val="00BE588E"/>
    <w:rsid w:val="00BF6CE4"/>
    <w:rsid w:val="00C03BCB"/>
    <w:rsid w:val="00C20DC5"/>
    <w:rsid w:val="00C3333E"/>
    <w:rsid w:val="00C33638"/>
    <w:rsid w:val="00C4079F"/>
    <w:rsid w:val="00C451FA"/>
    <w:rsid w:val="00CA6DBD"/>
    <w:rsid w:val="00CA7116"/>
    <w:rsid w:val="00CA7755"/>
    <w:rsid w:val="00CD4BBF"/>
    <w:rsid w:val="00CE4E5E"/>
    <w:rsid w:val="00CE5EA5"/>
    <w:rsid w:val="00CE6146"/>
    <w:rsid w:val="00CF18F0"/>
    <w:rsid w:val="00D10C01"/>
    <w:rsid w:val="00D278BE"/>
    <w:rsid w:val="00D27BC2"/>
    <w:rsid w:val="00DA3B66"/>
    <w:rsid w:val="00DA58A4"/>
    <w:rsid w:val="00DA73FD"/>
    <w:rsid w:val="00DC0F19"/>
    <w:rsid w:val="00DC795A"/>
    <w:rsid w:val="00DD5C7A"/>
    <w:rsid w:val="00DE39CC"/>
    <w:rsid w:val="00DE7556"/>
    <w:rsid w:val="00E106B5"/>
    <w:rsid w:val="00E25EE0"/>
    <w:rsid w:val="00E53E29"/>
    <w:rsid w:val="00E6049C"/>
    <w:rsid w:val="00E87B47"/>
    <w:rsid w:val="00EB3464"/>
    <w:rsid w:val="00EB6AE5"/>
    <w:rsid w:val="00EC654E"/>
    <w:rsid w:val="00F0215B"/>
    <w:rsid w:val="00F2192D"/>
    <w:rsid w:val="00F44373"/>
    <w:rsid w:val="00F52072"/>
    <w:rsid w:val="00F52CE9"/>
    <w:rsid w:val="00F603A5"/>
    <w:rsid w:val="00F60C64"/>
    <w:rsid w:val="00F67D1A"/>
    <w:rsid w:val="00F83BA8"/>
    <w:rsid w:val="00F95292"/>
    <w:rsid w:val="00F97104"/>
    <w:rsid w:val="00FA525A"/>
    <w:rsid w:val="00FE7189"/>
    <w:rsid w:val="00FF05EF"/>
    <w:rsid w:val="011634CB"/>
    <w:rsid w:val="0147778C"/>
    <w:rsid w:val="02137854"/>
    <w:rsid w:val="039F474E"/>
    <w:rsid w:val="03DF1EFE"/>
    <w:rsid w:val="03FB5863"/>
    <w:rsid w:val="0413083D"/>
    <w:rsid w:val="04432DC3"/>
    <w:rsid w:val="04933D5A"/>
    <w:rsid w:val="04BB1861"/>
    <w:rsid w:val="050706B2"/>
    <w:rsid w:val="057A5D44"/>
    <w:rsid w:val="05945EFB"/>
    <w:rsid w:val="063E0814"/>
    <w:rsid w:val="06BB0FAA"/>
    <w:rsid w:val="06EE6943"/>
    <w:rsid w:val="075628AF"/>
    <w:rsid w:val="07C529B7"/>
    <w:rsid w:val="08532F19"/>
    <w:rsid w:val="09F359DF"/>
    <w:rsid w:val="0A054CA2"/>
    <w:rsid w:val="0A551640"/>
    <w:rsid w:val="0A6B75FC"/>
    <w:rsid w:val="0AEC7D1D"/>
    <w:rsid w:val="0B0B3E4E"/>
    <w:rsid w:val="0B1C3D41"/>
    <w:rsid w:val="0B267FAE"/>
    <w:rsid w:val="0BA1041B"/>
    <w:rsid w:val="0BD2101F"/>
    <w:rsid w:val="0BD404F7"/>
    <w:rsid w:val="0BE07789"/>
    <w:rsid w:val="0BFB54D5"/>
    <w:rsid w:val="0C1F460D"/>
    <w:rsid w:val="0C3B046A"/>
    <w:rsid w:val="0C513B53"/>
    <w:rsid w:val="0CD23331"/>
    <w:rsid w:val="0D4172B5"/>
    <w:rsid w:val="0D4D545B"/>
    <w:rsid w:val="0DD3343C"/>
    <w:rsid w:val="0DDF5A6F"/>
    <w:rsid w:val="0DF403B1"/>
    <w:rsid w:val="0E1D2567"/>
    <w:rsid w:val="0E4B1D7A"/>
    <w:rsid w:val="0EA531FC"/>
    <w:rsid w:val="0F357114"/>
    <w:rsid w:val="100333AF"/>
    <w:rsid w:val="1197736A"/>
    <w:rsid w:val="11990F09"/>
    <w:rsid w:val="11E62326"/>
    <w:rsid w:val="12023BFC"/>
    <w:rsid w:val="123B2173"/>
    <w:rsid w:val="12484CC1"/>
    <w:rsid w:val="127A46BE"/>
    <w:rsid w:val="12906AB9"/>
    <w:rsid w:val="12E81295"/>
    <w:rsid w:val="13207E3D"/>
    <w:rsid w:val="13310AEF"/>
    <w:rsid w:val="135E1F8C"/>
    <w:rsid w:val="13795FA5"/>
    <w:rsid w:val="14CB500D"/>
    <w:rsid w:val="155A3141"/>
    <w:rsid w:val="15802157"/>
    <w:rsid w:val="15CE2C54"/>
    <w:rsid w:val="164D4B4F"/>
    <w:rsid w:val="1733148A"/>
    <w:rsid w:val="177B3B21"/>
    <w:rsid w:val="179B3A9D"/>
    <w:rsid w:val="17C97FC5"/>
    <w:rsid w:val="188269EA"/>
    <w:rsid w:val="18F55690"/>
    <w:rsid w:val="193C3DE5"/>
    <w:rsid w:val="1A39398C"/>
    <w:rsid w:val="1AA434A9"/>
    <w:rsid w:val="1ABA2716"/>
    <w:rsid w:val="1AD966C4"/>
    <w:rsid w:val="1AE550D5"/>
    <w:rsid w:val="1B100169"/>
    <w:rsid w:val="1B2E0C1E"/>
    <w:rsid w:val="1B3E2BD7"/>
    <w:rsid w:val="1B52307E"/>
    <w:rsid w:val="1B8B6D4D"/>
    <w:rsid w:val="1BBF1F49"/>
    <w:rsid w:val="1BF00C58"/>
    <w:rsid w:val="1BF478A9"/>
    <w:rsid w:val="1C013CF0"/>
    <w:rsid w:val="1C3D55BC"/>
    <w:rsid w:val="1C4A0623"/>
    <w:rsid w:val="1C765629"/>
    <w:rsid w:val="1C9F3871"/>
    <w:rsid w:val="1D1545BD"/>
    <w:rsid w:val="1D934839"/>
    <w:rsid w:val="1EAE1CD3"/>
    <w:rsid w:val="1ECF3E9F"/>
    <w:rsid w:val="1F271A62"/>
    <w:rsid w:val="1F3E177C"/>
    <w:rsid w:val="1F6A5C17"/>
    <w:rsid w:val="1FAD09D5"/>
    <w:rsid w:val="1FFD0F83"/>
    <w:rsid w:val="20045F16"/>
    <w:rsid w:val="2009229D"/>
    <w:rsid w:val="209C78B8"/>
    <w:rsid w:val="21307E5C"/>
    <w:rsid w:val="214F495E"/>
    <w:rsid w:val="22476B80"/>
    <w:rsid w:val="22A318C0"/>
    <w:rsid w:val="22A745EB"/>
    <w:rsid w:val="235719F1"/>
    <w:rsid w:val="235773DC"/>
    <w:rsid w:val="239807A6"/>
    <w:rsid w:val="23BF2223"/>
    <w:rsid w:val="24820485"/>
    <w:rsid w:val="24982745"/>
    <w:rsid w:val="24BD242C"/>
    <w:rsid w:val="252235A1"/>
    <w:rsid w:val="25CE78EB"/>
    <w:rsid w:val="261B2CAD"/>
    <w:rsid w:val="26693078"/>
    <w:rsid w:val="26937264"/>
    <w:rsid w:val="273B4BEE"/>
    <w:rsid w:val="27581216"/>
    <w:rsid w:val="27AB5C31"/>
    <w:rsid w:val="281746EE"/>
    <w:rsid w:val="287473A4"/>
    <w:rsid w:val="287A4C2F"/>
    <w:rsid w:val="291E4F72"/>
    <w:rsid w:val="29312CAF"/>
    <w:rsid w:val="29750F23"/>
    <w:rsid w:val="2AFE056F"/>
    <w:rsid w:val="2BC0106A"/>
    <w:rsid w:val="2BCF08F3"/>
    <w:rsid w:val="2C5D11BA"/>
    <w:rsid w:val="2D4E02B6"/>
    <w:rsid w:val="2DB768BF"/>
    <w:rsid w:val="2E0D2C8D"/>
    <w:rsid w:val="2E3F64F6"/>
    <w:rsid w:val="2F1D1413"/>
    <w:rsid w:val="2F367332"/>
    <w:rsid w:val="2FC4564B"/>
    <w:rsid w:val="30F26272"/>
    <w:rsid w:val="3196534D"/>
    <w:rsid w:val="32D525C9"/>
    <w:rsid w:val="32DE2D9F"/>
    <w:rsid w:val="32EC15CA"/>
    <w:rsid w:val="334A7FA8"/>
    <w:rsid w:val="33B661AE"/>
    <w:rsid w:val="33DE724C"/>
    <w:rsid w:val="34646710"/>
    <w:rsid w:val="34A76527"/>
    <w:rsid w:val="34B24520"/>
    <w:rsid w:val="34FF774A"/>
    <w:rsid w:val="3579095B"/>
    <w:rsid w:val="35802BA4"/>
    <w:rsid w:val="35AE3D68"/>
    <w:rsid w:val="36A35AAF"/>
    <w:rsid w:val="37741B0C"/>
    <w:rsid w:val="379D1156"/>
    <w:rsid w:val="38E204CF"/>
    <w:rsid w:val="391D25A6"/>
    <w:rsid w:val="39F64DF3"/>
    <w:rsid w:val="3A8A6107"/>
    <w:rsid w:val="3B4448CF"/>
    <w:rsid w:val="3B806790"/>
    <w:rsid w:val="3CC91622"/>
    <w:rsid w:val="3CFF08E1"/>
    <w:rsid w:val="3D17141D"/>
    <w:rsid w:val="3D776DE1"/>
    <w:rsid w:val="3DCE0AD8"/>
    <w:rsid w:val="3E395788"/>
    <w:rsid w:val="3E6842C3"/>
    <w:rsid w:val="3F6E536F"/>
    <w:rsid w:val="3FC46683"/>
    <w:rsid w:val="3FEB51AC"/>
    <w:rsid w:val="3FF01BE6"/>
    <w:rsid w:val="40AD06B3"/>
    <w:rsid w:val="413015E9"/>
    <w:rsid w:val="421D18D9"/>
    <w:rsid w:val="428D752D"/>
    <w:rsid w:val="42B77542"/>
    <w:rsid w:val="42CA7F23"/>
    <w:rsid w:val="42D16EFC"/>
    <w:rsid w:val="43554832"/>
    <w:rsid w:val="440E6D0F"/>
    <w:rsid w:val="44855E6B"/>
    <w:rsid w:val="44BD3E88"/>
    <w:rsid w:val="44DD734C"/>
    <w:rsid w:val="44F9053D"/>
    <w:rsid w:val="453C0EA3"/>
    <w:rsid w:val="45436729"/>
    <w:rsid w:val="45EC0024"/>
    <w:rsid w:val="463E6985"/>
    <w:rsid w:val="4695319A"/>
    <w:rsid w:val="46DF30CE"/>
    <w:rsid w:val="47750FC5"/>
    <w:rsid w:val="47864C06"/>
    <w:rsid w:val="478A715C"/>
    <w:rsid w:val="496E3CCD"/>
    <w:rsid w:val="49C43DCF"/>
    <w:rsid w:val="4A444C8B"/>
    <w:rsid w:val="4AA6771D"/>
    <w:rsid w:val="4AD77C59"/>
    <w:rsid w:val="4AE94203"/>
    <w:rsid w:val="4AF4826B"/>
    <w:rsid w:val="4B594EE9"/>
    <w:rsid w:val="4BC90A0E"/>
    <w:rsid w:val="4BCD469D"/>
    <w:rsid w:val="4C0B2759"/>
    <w:rsid w:val="4C23300B"/>
    <w:rsid w:val="4C327816"/>
    <w:rsid w:val="4D703468"/>
    <w:rsid w:val="4DF61D0C"/>
    <w:rsid w:val="4E0E0439"/>
    <w:rsid w:val="4F187221"/>
    <w:rsid w:val="4F424545"/>
    <w:rsid w:val="4F967FFF"/>
    <w:rsid w:val="4FA54F18"/>
    <w:rsid w:val="4FB34EB5"/>
    <w:rsid w:val="501442B6"/>
    <w:rsid w:val="502D2C76"/>
    <w:rsid w:val="502E7BF7"/>
    <w:rsid w:val="50516711"/>
    <w:rsid w:val="50D222C4"/>
    <w:rsid w:val="51230CC4"/>
    <w:rsid w:val="516C7D79"/>
    <w:rsid w:val="517F56AE"/>
    <w:rsid w:val="51950F66"/>
    <w:rsid w:val="51B340DC"/>
    <w:rsid w:val="52E64830"/>
    <w:rsid w:val="53CD23B6"/>
    <w:rsid w:val="543312C1"/>
    <w:rsid w:val="54D66BB7"/>
    <w:rsid w:val="55382C53"/>
    <w:rsid w:val="55711857"/>
    <w:rsid w:val="55AE1905"/>
    <w:rsid w:val="55D4785C"/>
    <w:rsid w:val="55DA5EA1"/>
    <w:rsid w:val="55E005F1"/>
    <w:rsid w:val="56507751"/>
    <w:rsid w:val="566F4A89"/>
    <w:rsid w:val="567F29F6"/>
    <w:rsid w:val="56A06516"/>
    <w:rsid w:val="56C64E88"/>
    <w:rsid w:val="575A17BE"/>
    <w:rsid w:val="57AF1113"/>
    <w:rsid w:val="58114847"/>
    <w:rsid w:val="5A033DCA"/>
    <w:rsid w:val="5B8372A1"/>
    <w:rsid w:val="5BB5190A"/>
    <w:rsid w:val="5BC1595B"/>
    <w:rsid w:val="5BE3445F"/>
    <w:rsid w:val="5C7FFD43"/>
    <w:rsid w:val="5CB0186C"/>
    <w:rsid w:val="5CE842FC"/>
    <w:rsid w:val="5E6115B7"/>
    <w:rsid w:val="5E9531E8"/>
    <w:rsid w:val="5EA22DA5"/>
    <w:rsid w:val="5EBD3A80"/>
    <w:rsid w:val="5F32740D"/>
    <w:rsid w:val="5FCA4EC7"/>
    <w:rsid w:val="609A1FD0"/>
    <w:rsid w:val="610D0751"/>
    <w:rsid w:val="6114479B"/>
    <w:rsid w:val="61292BCA"/>
    <w:rsid w:val="619D1CF3"/>
    <w:rsid w:val="619D4B0E"/>
    <w:rsid w:val="61E304BB"/>
    <w:rsid w:val="622A37E2"/>
    <w:rsid w:val="62703E63"/>
    <w:rsid w:val="62AE5A39"/>
    <w:rsid w:val="62FE6A96"/>
    <w:rsid w:val="63313B17"/>
    <w:rsid w:val="638F5B52"/>
    <w:rsid w:val="63975804"/>
    <w:rsid w:val="63A42434"/>
    <w:rsid w:val="63BF06FA"/>
    <w:rsid w:val="64086421"/>
    <w:rsid w:val="64141A21"/>
    <w:rsid w:val="64233C2A"/>
    <w:rsid w:val="64B16808"/>
    <w:rsid w:val="64FB04B9"/>
    <w:rsid w:val="650272BC"/>
    <w:rsid w:val="6550657C"/>
    <w:rsid w:val="6576633A"/>
    <w:rsid w:val="659F41BF"/>
    <w:rsid w:val="65E05E66"/>
    <w:rsid w:val="65EA2F63"/>
    <w:rsid w:val="65FE617B"/>
    <w:rsid w:val="66154481"/>
    <w:rsid w:val="66F34EB9"/>
    <w:rsid w:val="66F41C51"/>
    <w:rsid w:val="675A1AC6"/>
    <w:rsid w:val="678F3C50"/>
    <w:rsid w:val="67B6134C"/>
    <w:rsid w:val="685A43CD"/>
    <w:rsid w:val="689B5BC5"/>
    <w:rsid w:val="691C27E1"/>
    <w:rsid w:val="69AD255B"/>
    <w:rsid w:val="69CF2092"/>
    <w:rsid w:val="69DD5BE5"/>
    <w:rsid w:val="69F278A8"/>
    <w:rsid w:val="6A133968"/>
    <w:rsid w:val="6AD04FA8"/>
    <w:rsid w:val="6AED27F0"/>
    <w:rsid w:val="6C6C6252"/>
    <w:rsid w:val="6D0668D1"/>
    <w:rsid w:val="6D5E0131"/>
    <w:rsid w:val="6DE13DFC"/>
    <w:rsid w:val="6E3808E1"/>
    <w:rsid w:val="6ED52F82"/>
    <w:rsid w:val="70812E3F"/>
    <w:rsid w:val="709D1CA5"/>
    <w:rsid w:val="70BD0779"/>
    <w:rsid w:val="70C14F41"/>
    <w:rsid w:val="712F57E7"/>
    <w:rsid w:val="71624368"/>
    <w:rsid w:val="71E6528E"/>
    <w:rsid w:val="71EF1716"/>
    <w:rsid w:val="721A4D0F"/>
    <w:rsid w:val="72FC37A6"/>
    <w:rsid w:val="733F1181"/>
    <w:rsid w:val="738520BE"/>
    <w:rsid w:val="73DF1F95"/>
    <w:rsid w:val="750E7AC2"/>
    <w:rsid w:val="77F34770"/>
    <w:rsid w:val="78884F86"/>
    <w:rsid w:val="78BE687F"/>
    <w:rsid w:val="7A464543"/>
    <w:rsid w:val="7A9C60BF"/>
    <w:rsid w:val="7AB26BE3"/>
    <w:rsid w:val="7AE5207D"/>
    <w:rsid w:val="7B1838CE"/>
    <w:rsid w:val="7B3E72AA"/>
    <w:rsid w:val="7B8732D3"/>
    <w:rsid w:val="7B9A7FE4"/>
    <w:rsid w:val="7BC04FB3"/>
    <w:rsid w:val="7C1E52A8"/>
    <w:rsid w:val="7C1E5E43"/>
    <w:rsid w:val="7C360C3B"/>
    <w:rsid w:val="7CC82F25"/>
    <w:rsid w:val="7DC7102C"/>
    <w:rsid w:val="7DE66FB8"/>
    <w:rsid w:val="7E37565B"/>
    <w:rsid w:val="7EC60A2B"/>
    <w:rsid w:val="7F854CE9"/>
    <w:rsid w:val="7FB75037"/>
    <w:rsid w:val="D7FD92B1"/>
    <w:rsid w:val="E97B71C1"/>
    <w:rsid w:val="EFD3F1CD"/>
    <w:rsid w:val="FDF6C6D7"/>
    <w:rsid w:val="FFD6132A"/>
    <w:rsid w:val="FFF75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9" w:name="heading 4"/>
    <w:lsdException w:qFormat="1" w:unhideWhenUsed="0" w:uiPriority="9" w:semiHidden="0" w:name="heading 5"/>
    <w:lsdException w:qFormat="1" w:uiPriority="9" w:name="heading 6"/>
    <w:lsdException w:qFormat="1" w:uiPriority="9" w:name="heading 7"/>
    <w:lsdException w:qFormat="1" w:unhideWhenUsed="0"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4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5"/>
    <w:basedOn w:val="1"/>
    <w:next w:val="1"/>
    <w:link w:val="52"/>
    <w:qFormat/>
    <w:uiPriority w:val="9"/>
    <w:pPr>
      <w:keepNext/>
      <w:keepLines/>
      <w:spacing w:before="280" w:after="290" w:line="376" w:lineRule="auto"/>
      <w:outlineLvl w:val="4"/>
    </w:pPr>
    <w:rPr>
      <w:b/>
      <w:bCs/>
      <w:sz w:val="28"/>
      <w:szCs w:val="28"/>
    </w:rPr>
  </w:style>
  <w:style w:type="paragraph" w:styleId="6">
    <w:name w:val="heading 8"/>
    <w:basedOn w:val="1"/>
    <w:next w:val="1"/>
    <w:link w:val="53"/>
    <w:qFormat/>
    <w:uiPriority w:val="9"/>
    <w:pPr>
      <w:keepNext/>
      <w:keepLines/>
      <w:spacing w:before="240" w:after="64" w:line="320" w:lineRule="auto"/>
      <w:outlineLvl w:val="7"/>
    </w:pPr>
    <w:rPr>
      <w:rFonts w:ascii="Cambria" w:hAnsi="Cambria"/>
      <w:sz w:val="24"/>
      <w:szCs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unhideWhenUsed/>
    <w:qFormat/>
    <w:uiPriority w:val="39"/>
    <w:pPr>
      <w:ind w:left="2520" w:leftChars="1200"/>
    </w:pPr>
    <w:rPr>
      <w:rFonts w:ascii="Calibri" w:hAnsi="Calibri"/>
    </w:rPr>
  </w:style>
  <w:style w:type="paragraph" w:styleId="8">
    <w:name w:val="Normal Indent"/>
    <w:basedOn w:val="1"/>
    <w:next w:val="9"/>
    <w:qFormat/>
    <w:uiPriority w:val="0"/>
    <w:pPr>
      <w:adjustRightInd w:val="0"/>
      <w:spacing w:line="312" w:lineRule="atLeast"/>
      <w:ind w:firstLine="420"/>
      <w:textAlignment w:val="baseline"/>
    </w:pPr>
    <w:rPr>
      <w:kern w:val="0"/>
    </w:rPr>
  </w:style>
  <w:style w:type="paragraph" w:styleId="9">
    <w:name w:val="Body Text Indent"/>
    <w:basedOn w:val="1"/>
    <w:next w:val="8"/>
    <w:qFormat/>
    <w:uiPriority w:val="0"/>
    <w:pPr>
      <w:spacing w:before="156" w:beforeLines="50"/>
      <w:ind w:firstLine="420" w:firstLineChars="200"/>
    </w:pPr>
    <w:rPr>
      <w:rFonts w:ascii="宋体" w:hAnsi="宋体"/>
      <w:spacing w:val="-6"/>
    </w:rPr>
  </w:style>
  <w:style w:type="paragraph" w:styleId="10">
    <w:name w:val="annotation text"/>
    <w:basedOn w:val="1"/>
    <w:link w:val="54"/>
    <w:unhideWhenUsed/>
    <w:qFormat/>
    <w:uiPriority w:val="0"/>
    <w:pPr>
      <w:jc w:val="left"/>
    </w:pPr>
  </w:style>
  <w:style w:type="paragraph" w:styleId="11">
    <w:name w:val="Body Text"/>
    <w:basedOn w:val="1"/>
    <w:qFormat/>
    <w:uiPriority w:val="0"/>
    <w:pPr>
      <w:framePr w:hSpace="180" w:wrap="around" w:vAnchor="page" w:hAnchor="margin" w:y="3702"/>
      <w:spacing w:before="120" w:beforeLines="50" w:after="120" w:afterLines="50"/>
    </w:pPr>
    <w:rPr>
      <w:rFonts w:ascii="宋体"/>
      <w:szCs w:val="21"/>
    </w:rPr>
  </w:style>
  <w:style w:type="paragraph" w:styleId="12">
    <w:name w:val="toc 5"/>
    <w:basedOn w:val="1"/>
    <w:next w:val="1"/>
    <w:unhideWhenUsed/>
    <w:qFormat/>
    <w:uiPriority w:val="39"/>
    <w:pPr>
      <w:ind w:left="1680" w:leftChars="800"/>
    </w:pPr>
    <w:rPr>
      <w:rFonts w:ascii="Calibri" w:hAnsi="Calibri"/>
    </w:rPr>
  </w:style>
  <w:style w:type="paragraph" w:styleId="13">
    <w:name w:val="toc 3"/>
    <w:basedOn w:val="14"/>
    <w:next w:val="14"/>
    <w:qFormat/>
    <w:uiPriority w:val="39"/>
    <w:pPr>
      <w:ind w:left="840" w:leftChars="400"/>
    </w:pPr>
  </w:style>
  <w:style w:type="paragraph" w:customStyle="1" w:styleId="14">
    <w:name w:val="正文_0"/>
    <w:basedOn w:val="15"/>
    <w:qFormat/>
    <w:uiPriority w:val="0"/>
    <w:pPr>
      <w:widowControl w:val="0"/>
      <w:jc w:val="both"/>
    </w:pPr>
    <w:rPr>
      <w:kern w:val="2"/>
      <w:sz w:val="21"/>
      <w:szCs w:val="22"/>
    </w:rPr>
  </w:style>
  <w:style w:type="paragraph" w:customStyle="1" w:styleId="15">
    <w:name w:val="正文1"/>
    <w:basedOn w:val="16"/>
    <w:qFormat/>
    <w:uiPriority w:val="0"/>
    <w:pPr>
      <w:autoSpaceDE w:val="0"/>
      <w:autoSpaceDN w:val="0"/>
      <w:adjustRightInd w:val="0"/>
      <w:spacing w:before="120" w:line="360" w:lineRule="auto"/>
      <w:ind w:left="1366" w:hanging="686"/>
      <w:textAlignment w:val="baseline"/>
    </w:pPr>
    <w:rPr>
      <w:rFonts w:eastAsia="宋体"/>
    </w:rPr>
  </w:style>
  <w:style w:type="paragraph" w:customStyle="1" w:styleId="16">
    <w:name w:val="Normal_3387493e-adb0-4548-bd94-74c0fabbe3a8"/>
    <w:qFormat/>
    <w:uiPriority w:val="0"/>
    <w:rPr>
      <w:rFonts w:ascii="Times New Roman" w:hAnsi="Times New Roman" w:eastAsia="Times New Roman" w:cs="Times New Roman"/>
      <w:sz w:val="24"/>
      <w:szCs w:val="24"/>
      <w:lang w:val="en-US" w:eastAsia="zh-CN" w:bidi="ar-SA"/>
    </w:rPr>
  </w:style>
  <w:style w:type="paragraph" w:styleId="17">
    <w:name w:val="toc 8"/>
    <w:basedOn w:val="1"/>
    <w:next w:val="1"/>
    <w:unhideWhenUsed/>
    <w:qFormat/>
    <w:uiPriority w:val="39"/>
    <w:pPr>
      <w:ind w:left="2940" w:leftChars="1400"/>
    </w:pPr>
    <w:rPr>
      <w:rFonts w:ascii="Calibri" w:hAnsi="Calibri"/>
    </w:rPr>
  </w:style>
  <w:style w:type="paragraph" w:styleId="18">
    <w:name w:val="Date"/>
    <w:basedOn w:val="1"/>
    <w:next w:val="1"/>
    <w:link w:val="55"/>
    <w:unhideWhenUsed/>
    <w:qFormat/>
    <w:uiPriority w:val="0"/>
    <w:pPr>
      <w:ind w:left="100" w:leftChars="2500"/>
    </w:pPr>
  </w:style>
  <w:style w:type="paragraph" w:styleId="19">
    <w:name w:val="Body Text Indent 2"/>
    <w:basedOn w:val="14"/>
    <w:qFormat/>
    <w:uiPriority w:val="0"/>
    <w:pPr>
      <w:ind w:left="1558" w:leftChars="742" w:firstLine="330" w:firstLineChars="157"/>
    </w:pPr>
    <w:rPr>
      <w:rFonts w:ascii="宋体" w:hAnsi="宋体"/>
      <w:szCs w:val="21"/>
    </w:rPr>
  </w:style>
  <w:style w:type="paragraph" w:styleId="20">
    <w:name w:val="Balloon Text"/>
    <w:basedOn w:val="1"/>
    <w:link w:val="56"/>
    <w:unhideWhenUsed/>
    <w:qFormat/>
    <w:uiPriority w:val="99"/>
    <w:rPr>
      <w:sz w:val="18"/>
      <w:szCs w:val="18"/>
    </w:rPr>
  </w:style>
  <w:style w:type="paragraph" w:styleId="21">
    <w:name w:val="footer"/>
    <w:basedOn w:val="1"/>
    <w:link w:val="57"/>
    <w:unhideWhenUsed/>
    <w:qFormat/>
    <w:uiPriority w:val="99"/>
    <w:pPr>
      <w:tabs>
        <w:tab w:val="center" w:pos="4153"/>
        <w:tab w:val="right" w:pos="8306"/>
      </w:tabs>
      <w:snapToGrid w:val="0"/>
      <w:jc w:val="left"/>
    </w:pPr>
    <w:rPr>
      <w:sz w:val="18"/>
      <w:szCs w:val="18"/>
    </w:rPr>
  </w:style>
  <w:style w:type="paragraph" w:styleId="22">
    <w:name w:val="header"/>
    <w:basedOn w:val="1"/>
    <w:link w:val="58"/>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unhideWhenUsed/>
    <w:qFormat/>
    <w:uiPriority w:val="39"/>
  </w:style>
  <w:style w:type="paragraph" w:styleId="24">
    <w:name w:val="toc 4"/>
    <w:basedOn w:val="1"/>
    <w:next w:val="1"/>
    <w:unhideWhenUsed/>
    <w:qFormat/>
    <w:uiPriority w:val="39"/>
    <w:pPr>
      <w:ind w:left="1260" w:leftChars="600"/>
    </w:pPr>
    <w:rPr>
      <w:rFonts w:ascii="Calibri" w:hAnsi="Calibri"/>
    </w:rPr>
  </w:style>
  <w:style w:type="paragraph" w:styleId="25">
    <w:name w:val="footnote text"/>
    <w:basedOn w:val="1"/>
    <w:link w:val="59"/>
    <w:unhideWhenUsed/>
    <w:qFormat/>
    <w:uiPriority w:val="99"/>
    <w:pPr>
      <w:snapToGrid w:val="0"/>
      <w:jc w:val="left"/>
    </w:pPr>
    <w:rPr>
      <w:sz w:val="18"/>
      <w:szCs w:val="18"/>
    </w:rPr>
  </w:style>
  <w:style w:type="paragraph" w:styleId="26">
    <w:name w:val="toc 6"/>
    <w:basedOn w:val="1"/>
    <w:next w:val="1"/>
    <w:unhideWhenUsed/>
    <w:qFormat/>
    <w:uiPriority w:val="39"/>
    <w:pPr>
      <w:ind w:left="2100" w:leftChars="1000"/>
    </w:pPr>
    <w:rPr>
      <w:rFonts w:ascii="Calibri" w:hAnsi="Calibri"/>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ind w:left="3360" w:leftChars="1600"/>
    </w:pPr>
    <w:rPr>
      <w:rFonts w:ascii="Calibri" w:hAnsi="Calibri"/>
    </w:rPr>
  </w:style>
  <w:style w:type="paragraph" w:styleId="29">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0">
    <w:name w:val="annotation subject"/>
    <w:basedOn w:val="10"/>
    <w:next w:val="10"/>
    <w:link w:val="60"/>
    <w:unhideWhenUsed/>
    <w:qFormat/>
    <w:uiPriority w:val="99"/>
    <w:rPr>
      <w:b/>
      <w:bCs/>
    </w:rPr>
  </w:style>
  <w:style w:type="paragraph" w:styleId="31">
    <w:name w:val="Body Text First Indent"/>
    <w:basedOn w:val="11"/>
    <w:unhideWhenUsed/>
    <w:qFormat/>
    <w:uiPriority w:val="99"/>
    <w:pPr>
      <w:framePr w:hSpace="0" w:wrap="auto" w:vAnchor="margin" w:hAnchor="text" w:yAlign="inline"/>
      <w:spacing w:before="0" w:beforeLines="0" w:afterLines="0"/>
      <w:ind w:firstLine="420" w:firstLineChars="100"/>
    </w:pPr>
    <w:rPr>
      <w:rFonts w:ascii="Calibri" w:hAnsi="Calibri"/>
      <w:szCs w:val="22"/>
    </w:rPr>
  </w:style>
  <w:style w:type="paragraph" w:styleId="32">
    <w:name w:val="Body Text First Indent 2"/>
    <w:basedOn w:val="9"/>
    <w:next w:val="33"/>
    <w:qFormat/>
    <w:uiPriority w:val="0"/>
    <w:pPr>
      <w:spacing w:after="120"/>
      <w:ind w:left="420" w:leftChars="200"/>
    </w:pPr>
    <w:rPr>
      <w:rFonts w:ascii="Times New Roman" w:hAnsi="Times New Roman"/>
      <w:spacing w:val="0"/>
    </w:rPr>
  </w:style>
  <w:style w:type="paragraph" w:customStyle="1" w:styleId="33">
    <w:name w:val="xl53"/>
    <w:basedOn w:val="1"/>
    <w:next w:val="1"/>
    <w:qFormat/>
    <w:uiPriority w:val="0"/>
    <w:pPr>
      <w:widowControl/>
      <w:pBdr>
        <w:top w:val="single" w:color="auto" w:sz="4" w:space="0"/>
        <w:left w:val="single" w:color="auto" w:sz="8" w:space="0"/>
        <w:bottom w:val="single" w:color="auto" w:sz="8" w:space="0"/>
        <w:right w:val="single" w:color="auto" w:sz="4" w:space="0"/>
      </w:pBdr>
      <w:autoSpaceDE w:val="0"/>
      <w:autoSpaceDN w:val="0"/>
      <w:adjustRightInd w:val="0"/>
      <w:spacing w:before="100" w:beforeAutospacing="1" w:after="100" w:afterAutospacing="1" w:line="100" w:lineRule="exact"/>
      <w:jc w:val="center"/>
    </w:pPr>
    <w:rPr>
      <w:rFonts w:ascii="宋体" w:hAnsi="宋体"/>
      <w:b/>
      <w:bCs/>
      <w:kern w:val="0"/>
      <w:sz w:val="20"/>
      <w:szCs w:val="20"/>
    </w:rPr>
  </w:style>
  <w:style w:type="table" w:styleId="35">
    <w:name w:val="Table Grid"/>
    <w:basedOn w:val="3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uiPriority w:val="22"/>
    <w:rPr>
      <w:b/>
    </w:rPr>
  </w:style>
  <w:style w:type="character" w:styleId="38">
    <w:name w:val="page number"/>
    <w:qFormat/>
    <w:uiPriority w:val="0"/>
  </w:style>
  <w:style w:type="character" w:styleId="39">
    <w:name w:val="Hyperlink"/>
    <w:qFormat/>
    <w:uiPriority w:val="99"/>
    <w:rPr>
      <w:rFonts w:ascii="Times New Roman" w:hAnsi="Times New Roman"/>
      <w:color w:val="337AB7"/>
      <w:u w:val="none"/>
    </w:rPr>
  </w:style>
  <w:style w:type="character" w:styleId="40">
    <w:name w:val="annotation reference"/>
    <w:semiHidden/>
    <w:qFormat/>
    <w:uiPriority w:val="0"/>
    <w:rPr>
      <w:rFonts w:ascii="Times New Roman" w:hAnsi="Times New Roman"/>
      <w:sz w:val="21"/>
      <w:szCs w:val="21"/>
    </w:rPr>
  </w:style>
  <w:style w:type="character" w:styleId="41">
    <w:name w:val="footnote reference"/>
    <w:semiHidden/>
    <w:qFormat/>
    <w:uiPriority w:val="0"/>
    <w:rPr>
      <w:vertAlign w:val="superscript"/>
    </w:rPr>
  </w:style>
  <w:style w:type="paragraph" w:customStyle="1" w:styleId="42">
    <w:name w:val="正文_1"/>
    <w:basedOn w:val="43"/>
    <w:qFormat/>
    <w:uiPriority w:val="0"/>
  </w:style>
  <w:style w:type="paragraph" w:customStyle="1" w:styleId="43">
    <w:name w:val="正文_2"/>
    <w:basedOn w:val="44"/>
    <w:next w:val="32"/>
    <w:qFormat/>
    <w:uiPriority w:val="0"/>
  </w:style>
  <w:style w:type="paragraph" w:customStyle="1" w:styleId="44">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5">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46">
    <w:name w:val="正文首行缩进_0"/>
    <w:basedOn w:val="47"/>
    <w:qFormat/>
    <w:uiPriority w:val="0"/>
    <w:pPr>
      <w:spacing w:after="120" w:afterLines="0"/>
      <w:ind w:firstLine="420" w:firstLineChars="100"/>
    </w:pPr>
    <w:rPr>
      <w:rFonts w:ascii="Times New Roman" w:hAnsi="Times New Roman"/>
      <w:spacing w:val="0"/>
    </w:rPr>
  </w:style>
  <w:style w:type="paragraph" w:customStyle="1" w:styleId="47">
    <w:name w:val="正文文本_0"/>
    <w:basedOn w:val="48"/>
    <w:next w:val="14"/>
    <w:qFormat/>
    <w:uiPriority w:val="0"/>
    <w:pPr>
      <w:spacing w:before="156" w:beforeLines="50" w:after="156" w:afterLines="50"/>
    </w:pPr>
    <w:rPr>
      <w:rFonts w:ascii="宋体" w:hAnsi="宋体"/>
      <w:spacing w:val="-6"/>
    </w:rPr>
  </w:style>
  <w:style w:type="paragraph" w:customStyle="1" w:styleId="48">
    <w:name w:val="正文_0_0"/>
    <w:next w:val="46"/>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9">
    <w:name w:val="标题 1 字符"/>
    <w:link w:val="2"/>
    <w:qFormat/>
    <w:uiPriority w:val="9"/>
    <w:rPr>
      <w:b/>
      <w:bCs/>
      <w:kern w:val="44"/>
      <w:sz w:val="44"/>
      <w:szCs w:val="44"/>
    </w:rPr>
  </w:style>
  <w:style w:type="character" w:customStyle="1" w:styleId="50">
    <w:name w:val="标题 2 字符"/>
    <w:link w:val="3"/>
    <w:qFormat/>
    <w:uiPriority w:val="9"/>
    <w:rPr>
      <w:rFonts w:ascii="Calibri Light" w:hAnsi="Calibri Light" w:eastAsia="宋体" w:cs="Times New Roman"/>
      <w:b/>
      <w:bCs/>
      <w:sz w:val="32"/>
      <w:szCs w:val="32"/>
    </w:rPr>
  </w:style>
  <w:style w:type="character" w:customStyle="1" w:styleId="51">
    <w:name w:val="标题 3 字符"/>
    <w:link w:val="4"/>
    <w:qFormat/>
    <w:uiPriority w:val="9"/>
    <w:rPr>
      <w:b/>
      <w:bCs/>
      <w:sz w:val="32"/>
      <w:szCs w:val="32"/>
    </w:rPr>
  </w:style>
  <w:style w:type="character" w:customStyle="1" w:styleId="52">
    <w:name w:val="标题 5 字符"/>
    <w:link w:val="5"/>
    <w:semiHidden/>
    <w:qFormat/>
    <w:uiPriority w:val="9"/>
    <w:rPr>
      <w:b/>
      <w:bCs/>
      <w:kern w:val="2"/>
      <w:sz w:val="28"/>
      <w:szCs w:val="28"/>
    </w:rPr>
  </w:style>
  <w:style w:type="character" w:customStyle="1" w:styleId="53">
    <w:name w:val="标题 8 字符"/>
    <w:link w:val="6"/>
    <w:qFormat/>
    <w:uiPriority w:val="0"/>
    <w:rPr>
      <w:rFonts w:ascii="Cambria" w:hAnsi="Cambria" w:eastAsia="宋体" w:cs="Times New Roman"/>
      <w:kern w:val="2"/>
      <w:sz w:val="24"/>
      <w:szCs w:val="24"/>
    </w:rPr>
  </w:style>
  <w:style w:type="character" w:customStyle="1" w:styleId="54">
    <w:name w:val="批注文字 字符"/>
    <w:link w:val="10"/>
    <w:semiHidden/>
    <w:qFormat/>
    <w:uiPriority w:val="99"/>
    <w:rPr>
      <w:kern w:val="2"/>
      <w:sz w:val="21"/>
      <w:szCs w:val="22"/>
    </w:rPr>
  </w:style>
  <w:style w:type="character" w:customStyle="1" w:styleId="55">
    <w:name w:val="日期 字符"/>
    <w:link w:val="18"/>
    <w:semiHidden/>
    <w:qFormat/>
    <w:uiPriority w:val="99"/>
    <w:rPr>
      <w:kern w:val="2"/>
      <w:sz w:val="21"/>
      <w:szCs w:val="22"/>
    </w:rPr>
  </w:style>
  <w:style w:type="character" w:customStyle="1" w:styleId="56">
    <w:name w:val="批注框文本 字符"/>
    <w:link w:val="20"/>
    <w:semiHidden/>
    <w:qFormat/>
    <w:uiPriority w:val="99"/>
    <w:rPr>
      <w:kern w:val="2"/>
      <w:sz w:val="18"/>
      <w:szCs w:val="18"/>
    </w:rPr>
  </w:style>
  <w:style w:type="character" w:customStyle="1" w:styleId="57">
    <w:name w:val="页脚 字符"/>
    <w:link w:val="21"/>
    <w:qFormat/>
    <w:uiPriority w:val="99"/>
    <w:rPr>
      <w:sz w:val="18"/>
      <w:szCs w:val="18"/>
    </w:rPr>
  </w:style>
  <w:style w:type="character" w:customStyle="1" w:styleId="58">
    <w:name w:val="页眉 字符"/>
    <w:link w:val="22"/>
    <w:qFormat/>
    <w:uiPriority w:val="99"/>
    <w:rPr>
      <w:sz w:val="18"/>
      <w:szCs w:val="18"/>
    </w:rPr>
  </w:style>
  <w:style w:type="character" w:customStyle="1" w:styleId="59">
    <w:name w:val="脚注文本 字符"/>
    <w:link w:val="25"/>
    <w:semiHidden/>
    <w:qFormat/>
    <w:uiPriority w:val="99"/>
    <w:rPr>
      <w:kern w:val="2"/>
      <w:sz w:val="18"/>
      <w:szCs w:val="18"/>
    </w:rPr>
  </w:style>
  <w:style w:type="character" w:customStyle="1" w:styleId="60">
    <w:name w:val="批注主题 字符"/>
    <w:link w:val="30"/>
    <w:semiHidden/>
    <w:qFormat/>
    <w:uiPriority w:val="99"/>
    <w:rPr>
      <w:b/>
      <w:bCs/>
      <w:kern w:val="2"/>
      <w:sz w:val="21"/>
      <w:szCs w:val="22"/>
    </w:rPr>
  </w:style>
  <w:style w:type="paragraph" w:customStyle="1" w:styleId="61">
    <w:name w:val="xl25"/>
    <w:basedOn w:val="14"/>
    <w:qFormat/>
    <w:uiPriority w:val="0"/>
    <w:pPr>
      <w:widowControl/>
      <w:spacing w:before="100" w:beforeAutospacing="1" w:after="100" w:afterAutospacing="1"/>
      <w:jc w:val="center"/>
      <w:textAlignment w:val="center"/>
    </w:pPr>
    <w:rPr>
      <w:rFonts w:hint="eastAsia" w:ascii="新宋体" w:hAnsi="新宋体" w:eastAsia="新宋体" w:cs="Arial Unicode MS"/>
      <w:b/>
      <w:bCs/>
      <w:kern w:val="0"/>
      <w:sz w:val="36"/>
      <w:szCs w:val="36"/>
    </w:rPr>
  </w:style>
  <w:style w:type="paragraph" w:customStyle="1" w:styleId="62">
    <w:name w:val="样式 标题 2 + Times New Roman 四号 非加粗 段前: 5 磅 段后: 0 磅 行距: 固定值 20..."/>
    <w:basedOn w:val="63"/>
    <w:qFormat/>
    <w:uiPriority w:val="0"/>
    <w:pPr>
      <w:spacing w:before="100" w:after="0" w:line="400" w:lineRule="exact"/>
    </w:pPr>
    <w:rPr>
      <w:rFonts w:ascii="Times New Roman" w:hAnsi="Times New Roman" w:cs="宋体"/>
      <w:b w:val="0"/>
      <w:bCs w:val="0"/>
      <w:sz w:val="28"/>
      <w:szCs w:val="20"/>
    </w:rPr>
  </w:style>
  <w:style w:type="paragraph" w:customStyle="1" w:styleId="63">
    <w:name w:val="标题 2_0"/>
    <w:basedOn w:val="14"/>
    <w:next w:val="14"/>
    <w:qFormat/>
    <w:uiPriority w:val="0"/>
    <w:pPr>
      <w:keepNext/>
      <w:keepLines/>
      <w:spacing w:before="260" w:after="260" w:line="416" w:lineRule="auto"/>
      <w:outlineLvl w:val="1"/>
    </w:pPr>
    <w:rPr>
      <w:rFonts w:ascii="Arial" w:hAnsi="Arial" w:eastAsia="黑体"/>
      <w:b/>
      <w:bCs/>
      <w:sz w:val="32"/>
      <w:szCs w:val="32"/>
    </w:rPr>
  </w:style>
  <w:style w:type="paragraph" w:customStyle="1" w:styleId="64">
    <w:name w:val="正文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5">
    <w:name w:val="Char1 Char Char Char1 Char Char Char Char Char Char"/>
    <w:basedOn w:val="1"/>
    <w:next w:val="1"/>
    <w:qFormat/>
    <w:uiPriority w:val="0"/>
    <w:rPr>
      <w:szCs w:val="24"/>
    </w:rPr>
  </w:style>
  <w:style w:type="paragraph" w:customStyle="1" w:styleId="66">
    <w:name w:val="正文_0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7">
    <w:name w:val="Normal_0"/>
    <w:qFormat/>
    <w:uiPriority w:val="0"/>
    <w:pPr>
      <w:widowControl w:val="0"/>
    </w:pPr>
    <w:rPr>
      <w:rFonts w:ascii="Times New Roman" w:hAnsi="Times New Roman" w:eastAsia="宋体" w:cs="Times New Roman"/>
      <w:lang w:val="en-US" w:eastAsia="zh-CN" w:bidi="ar-SA"/>
    </w:rPr>
  </w:style>
  <w:style w:type="paragraph" w:customStyle="1" w:styleId="68">
    <w:name w:val="样式 标题 3 + (中文) 黑体 小四 非加粗 段前: 7.8 磅 段后: 0 磅 行距: 固定值 20 磅"/>
    <w:basedOn w:val="69"/>
    <w:qFormat/>
    <w:uiPriority w:val="0"/>
    <w:pPr>
      <w:spacing w:line="400" w:lineRule="exact"/>
    </w:pPr>
    <w:rPr>
      <w:rFonts w:eastAsia="黑体" w:cs="宋体"/>
      <w:b w:val="0"/>
      <w:bCs w:val="0"/>
      <w:szCs w:val="20"/>
    </w:rPr>
  </w:style>
  <w:style w:type="paragraph" w:customStyle="1" w:styleId="69">
    <w:name w:val="标题 3_0"/>
    <w:basedOn w:val="14"/>
    <w:next w:val="14"/>
    <w:qFormat/>
    <w:uiPriority w:val="0"/>
    <w:pPr>
      <w:keepNext/>
      <w:keepLines/>
      <w:outlineLvl w:val="2"/>
    </w:pPr>
    <w:rPr>
      <w:b/>
      <w:bCs/>
      <w:sz w:val="24"/>
      <w:szCs w:val="32"/>
    </w:rPr>
  </w:style>
  <w:style w:type="paragraph" w:styleId="70">
    <w:name w:val="List Paragraph"/>
    <w:basedOn w:val="1"/>
    <w:qFormat/>
    <w:uiPriority w:val="1"/>
    <w:pPr>
      <w:ind w:firstLine="420" w:firstLineChars="200"/>
    </w:pPr>
  </w:style>
  <w:style w:type="paragraph" w:customStyle="1" w:styleId="71">
    <w:name w:val="Table Paragraph"/>
    <w:basedOn w:val="1"/>
    <w:qFormat/>
    <w:uiPriority w:val="1"/>
    <w:pPr>
      <w:autoSpaceDE w:val="0"/>
      <w:autoSpaceDN w:val="0"/>
      <w:jc w:val="left"/>
    </w:pPr>
    <w:rPr>
      <w:rFonts w:ascii="宋体" w:hAnsi="宋体" w:cs="宋体"/>
      <w:kern w:val="0"/>
      <w:sz w:val="22"/>
      <w:lang w:val="zh-CN" w:bidi="zh-CN"/>
    </w:rPr>
  </w:style>
  <w:style w:type="table" w:customStyle="1" w:styleId="72">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3">
    <w:name w:val="Table Normal3"/>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4">
    <w:name w:val="Table Normal2"/>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table" w:customStyle="1" w:styleId="75">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76">
    <w:name w:val="fontstyle01"/>
    <w:qFormat/>
    <w:uiPriority w:val="0"/>
    <w:rPr>
      <w:rFonts w:hint="default" w:ascii="E-FZ" w:hAnsi="E-FZ"/>
      <w:color w:val="000000"/>
      <w:sz w:val="30"/>
      <w:szCs w:val="30"/>
    </w:rPr>
  </w:style>
  <w:style w:type="character" w:customStyle="1" w:styleId="77">
    <w:name w:val="zbggmain style9"/>
    <w:basedOn w:val="36"/>
    <w:qFormat/>
    <w:uiPriority w:val="0"/>
  </w:style>
  <w:style w:type="paragraph" w:customStyle="1" w:styleId="78">
    <w:name w:val="Körper"/>
    <w:basedOn w:val="1"/>
    <w:qFormat/>
    <w:uiPriority w:val="0"/>
    <w:pPr>
      <w:widowControl/>
      <w:spacing w:before="120" w:line="240" w:lineRule="exact"/>
    </w:pPr>
    <w:rPr>
      <w:rFonts w:ascii="Arial" w:hAnsi="Arial"/>
      <w:kern w:val="0"/>
      <w:sz w:val="20"/>
      <w:szCs w:val="20"/>
    </w:r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Table Text"/>
    <w:basedOn w:val="1"/>
    <w:semiHidden/>
    <w:qFormat/>
    <w:uiPriority w:val="0"/>
    <w:rPr>
      <w:rFonts w:ascii="宋体" w:hAnsi="宋体" w:cs="宋体"/>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9.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NIL</Company>
  <Pages>159</Pages>
  <Words>1817</Words>
  <Characters>2188</Characters>
  <Lines>776</Lines>
  <Paragraphs>218</Paragraphs>
  <TotalTime>89</TotalTime>
  <ScaleCrop>false</ScaleCrop>
  <LinksUpToDate>false</LinksUpToDate>
  <CharactersWithSpaces>2464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2026-10-15T04:00:00Z</dcterms:created>
  <dc:creator>NTKO</dc:creator>
  <cp:lastModifiedBy>WPS_1651590551</cp:lastModifiedBy>
  <cp:lastPrinted>2025-01-22T14:03:00Z</cp:lastPrinted>
  <dcterms:modified xsi:type="dcterms:W3CDTF">2026-11-03T05:43:22Z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2B1AB32A01C34250A38D16ECA295D9D7_13</vt:lpwstr>
  </property>
  <property fmtid="{D5CDD505-2E9C-101B-9397-08002B2CF9AE}" pid="4" name="KSOTemplateDocerSaveRecord">
    <vt:lpwstr>eyJoZGlkIjoiNmZmZTY4OGM1ZDY2NTYyNDQwNDhhMWZkMzc5OThiOTciLCJ1c2VySWQiOiIxMzcwODI5NzExIn0=</vt:lpwstr>
  </property>
</Properties>
</file>